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PE15.001597 vom 18. Mai 2015</w:t>
      </w:r>
    </w:p>
    <w:p>
      <w:r>
        <w:t>VD Tribunal cantonal, 2015-05-18, FR</w:t>
      </w:r>
    </w:p>
    <w:p>
      <w:r>
        <w:rPr>
          <w:b/>
        </w:rPr>
        <w:t xml:space="preserve">Quelle: </w:t>
      </w:r>
      <w:r>
        <w:t>https://mcp.opencaselaw.ch/entscheid/vd_gerichte_PE15.001597</w:t>
      </w:r>
    </w:p>
    <w:p>
      <w:r>
        <w:t>FR: VD_GERICHTE PE15.001597 du 18 mai 2015</w:t>
      </w:r>
    </w:p>
    <w:p>
      <w:r>
        <w:t>IT: VD_GERICHTE PE15.001597 del 18 maggio 2015</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- 4 -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la Cour de céans a minutieusement examiné cette question dans son arrêt du 18 mars 2015 et s’y réfère dès lors, en l’absence d’éléments nouveaux, pour admettre l’existence d’une présomption suffisamment sérieuse de culpabilité à l’encontre du recourant, que celui-ci ne conteste d’ailleurs pas.</w:t>
      </w:r>
    </w:p>
    <w:p>
      <w:r>
        <w:rPr>
          <w:b/>
        </w:rPr>
        <w:t>E. 3.1</w:t>
      </w:r>
    </w:p>
    <w:p>
      <w:r>
        <w:t>Le recourant conteste le risque de récidive (art. 221 al. 1 let. c CPP). Le maintien en détention ne peut se justifier en raison d’un risque de réitération que si le pronostic est très défavorable et si les délits</w:t>
      </w:r>
    </w:p>
    <w:p>
      <w:r>
        <w:t>- 5 -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particulier s’agissant d’infractions qualifiées à la LStup (cf. ATF 137 IV 84 c. 3.5 et 3.7). En l’espèce, la Cour de céans se réfère dans leur intégralité aux considérants qu'elle a développés dans son arrêt du 18 mars 2015, qui conservent leur pertinence. Ce procédé est admissible au regard des exigences du droit d’être entendu (TF 1B_149/2010 du 1er juin 2010 c. 1.3; CREP 23 octobre 2012/634). Le Tribunal fédéral a en outre confirmé ce risque dans son arrêt du 11 mai 2015, évoquant notamment le risque de récidive élevé retenu dans l’expertise psychiatrique du 8 décembre 2014. En l’état, force est dès lors d’admettre que le risque de récidive doit toujours être considéré comme majeur.</w:t>
      </w:r>
    </w:p>
    <w:p>
      <w:r>
        <w:rPr>
          <w:b/>
        </w:rPr>
        <w:t>E. 3.2</w:t>
      </w:r>
    </w:p>
    <w:p>
      <w:r>
        <w:t>Le recourant conteste l’existence d’un risque de fuite (art. 221 al. 1 let. a CPP). Selon la jurisprudence, le risque de fuite doit s'analyser en fonction d'un ensemble de critères tels que le caractère de l'intéressé, sa moralité, ses ressources, ses liens avec l'Etat qui le poursuit ainsi que ses</w:t>
      </w:r>
    </w:p>
    <w:p>
      <w:r>
        <w:t>- 6 -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En l’espèce, la Cour de céans se réfère à nouveau aux considérants de son arrêt du 18 mars 2015 pour retenir un risque concret de fuite. Ce risque a été confirmé par le Tribunal fédéral dans son arrêt du 11 mai 2015. Il a en particulier relevé l’argumentation insuffisante soulevée par le recourant face à l’intensité du risque de fuite existant. Dans ces conditions, le risque de fuite est manifestement réalisé.</w:t>
      </w:r>
    </w:p>
    <w:p>
      <w:r>
        <w:rPr>
          <w:b/>
        </w:rPr>
        <w:t>E. 4</w:t>
      </w:r>
    </w:p>
    <w:p>
      <w:r>
        <w:t>Au vu de la situation personnelle du recourant, aucune mesure de substitution n’est à même de prévenir les risques retenus. En particulier le dépôt des documents d’identité, l’engagement de se présenter deux fois par semaine à la Police cantonale vaudoise ainsi que l’engagement de débuter une thérapie ambulatoire à sa libération ne sont pas de nature à parer efficacement aux risques de récidive et de fuite. En outre, comme l’a relevé le Tribunal fédéral, le recourant ne démontre pas disposer d’un travail à sa sortie de prison, exigence requise par l’expert, en sus d’un traitement psychothérapeutique, pour diminuer le risque de récidive. Le maintien de R.________ en détention provisoire est ainsi justifié.</w:t>
      </w:r>
    </w:p>
    <w:p>
      <w:r>
        <w:rPr>
          <w:b/>
        </w:rPr>
        <w:t>E. 5.1</w:t>
      </w:r>
    </w:p>
    <w:p>
      <w:r>
        <w:t>Le recourant invoque une violation de son droit d’être jugé dans un délai raisonnable.</w:t>
      </w:r>
    </w:p>
    <w:p>
      <w:r>
        <w:t>- 7 - Concrétisant le principe de la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(TF 1B_150/2012 du 30 mars 2012 c. 3 et les arrêts cités). Il doit toutefois s'agir d'un manquement particulièrement grave, faisant au surplus apparaître que l'autorité de poursuite n'est plus en mesure de conduire la procédure à chef dans un délai raisonnable (ibid.).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En l’espèce, il n’y a, contrairement à ce que prétend le recourant, aucune violation du principe de la célérité. En effet, dès le moment où le Ministère public de l’arrondissement de Lausanne a repris l’instruction du dossier argovien, après plus de six mois d’instruction, soit à fin janvier 2015, il a procédé à divers actes d’instruction. Le recourant se borne à contester la durée de la procédure sans établir l'existence de longues périodes d'inactivité fautive des autorités de poursuite pénale. Or l’instruction se poursuit et, en l’état, on ne saurait considérer, à l’instar du Tribunal fédéral, qu’il y a un retard injustifié dans l’avancement de la procédure.</w:t>
      </w:r>
    </w:p>
    <w:p>
      <w:r>
        <w:rPr>
          <w:b/>
        </w:rPr>
        <w:t>E. 5.2</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w:t>
      </w:r>
    </w:p>
    <w:p>
      <w:r>
        <w:t>- 8 - être assortie du sursis, total ou partiel, n'est pas déterminant sous l'angle de la proportionnalité (ATF 133 I 270 c. 3.4.2). En l’espèce, R.________ est détenu depuis le 8 juillet 2014, soit depuis plus de dix mois. Compte tenu de la gravité des charges qui pèsent contre lui, le recourant s’expose à une peine privative de liberté d’une durée manifestement supérieure à celle de la détention provisoire subie à ce jour. Au vu de ces éléments, le principe de la proportionnalité de la détention provisoire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880 fr. (art. 20 al. 1 [tarif des frais judiciaires de procédure et indemnités en matière pénale du 28 septembre 2010; RSV 312.03.1]) et des frais imputables à la défense d’office (art. 422 al. 1 et 2 let. a CPP), fixés à 450 fr., plus la TVA par 36 fr., soit un total de 486 fr., seront mis à la charge de R.________, qui succombe (art. 428 al. 1 CPP). Le remboursement à l’Etat de l’indemnité allouée au défenseur d’office du recourant ne sera toutefois exigible que pour autant que la situation économique de ce dernier se soit améliorée (art. 135 al. 4 CPP).</w:t>
      </w:r>
    </w:p>
    <w:p>
      <w:r>
        <w:t>- 9 - Par ces motifs, la Chambre des recours pénale prononce : I. Le recours est rejeté. II. L’ordonnance du 1er mai 2015 est confirmée. III. L'indemnité allouée au défenseur d'office de R.________ est fixée à 486 fr. (quatre cent huitante-six francs). IV. Les frais du présent arrêt, par 880 fr. (huit cent huitante francs), ainsi que l’indemnité due au défenseur d’office de R.________, par 486 fr. (quatre cent huitante-six francs), sont mis à la charge de ce dernier. V. Le remboursement à l'Etat de l'indemnité allouée au chiffre III ci-dessus sera exigible pour autant que la situation économique de R.________ se soit améliorée. VI. Le présent arrêt est exécutoire. Le président : La greffière : Du Le présent arrêt, dont la rédaction a été approuvée à huis clos, est notifié, par l'envoi d'une copie complète, à : - M. Nicolas Blanc, avocat (pour R.________), - Ministère public central, et communiqué à : - Mme la Procureure de l’arrondissement de Lausanne, - M. le Président du Tribunal des mesures de contrainte,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