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PE15.001116 vom 2. Dezember 2015</w:t>
      </w:r>
    </w:p>
    <w:p>
      <w:r>
        <w:t>VD Tribunal cantonal, 2015-12-02, FR</w:t>
      </w:r>
    </w:p>
    <w:p>
      <w:r>
        <w:rPr>
          <w:b/>
        </w:rPr>
        <w:t xml:space="preserve">Quelle: </w:t>
      </w:r>
      <w:r>
        <w:t>https://mcp.opencaselaw.ch/entscheid/vd_gerichte_PE15.001116</w:t>
      </w:r>
    </w:p>
    <w:p>
      <w:r>
        <w:t>FR: VD_GERICHTE PE15.001116 du 2 décembre 2015</w:t>
      </w:r>
    </w:p>
    <w:p>
      <w:r>
        <w:t>IT: VD_GERICHTE PE15.001116 del 2 dicembre 2015</w:t>
      </w:r>
    </w:p>
    <w:p>
      <w:pPr>
        <w:pStyle w:val="Heading2"/>
      </w:pPr>
      <w:r>
        <w:t>Erwägungen</w:t>
      </w:r>
    </w:p>
    <w:p>
      <w:r>
        <w:rPr>
          <w:b/>
        </w:rPr>
        <w:t>E. 1</w:t>
      </w:r>
    </w:p>
    <w:p>
      <w:r>
        <w:t>A.W.________, née le [...] 1966 à [...] (Allemagne), pays dont elle est ressortissante, est titulaire d’un permis C. Elle est mariée à B.W.________. Le couple a trois enfants âgés respectivement de 20, 17 et 13 ans. Femme au foyer, elle ne réalise aucun revenu. Son époux réalise un revenu mensuel net de 21'000 francs. Les époux sont propriétaires de trois immeubles situés à [...], [...] et [...], dont les valeurs fiscales sont respectivement de 885'000 fr., 325'000 fr. et 42'460 francs. Deux hypothèques de 1'100'000 fr. et 84'000 euros grèvent ces immeubles. A.W.________ ne peut estimer ses charges, son mari s’occupant des finances, mais elle affirme que les revenus couvrent leurs charges, que leur budget est équilibré et qu’il y a un léger gain à la fin du mois. Le casier judiciaire suisse de A.W.________ est vierge de toute inscription.</w:t>
      </w:r>
    </w:p>
    <w:p>
      <w:r>
        <w:rPr>
          <w:b/>
        </w:rPr>
        <w:t>E. 2</w:t>
      </w:r>
    </w:p>
    <w:p>
      <w:r>
        <w:t>Entre le 1er juillet 2008 et le 30 septembre 2014, A.W.________ a employé F.________, ressortissante bolivienne, en qualité de femme de ménage à temps partiel à son domicile à [...], alors que celle-ci ne bénéficiait pas d’autorisations de séjour et de travail en Suisse. A.W.________ avait inscrit F.________ à Chèques-emploi à qui elle versait des acomptes (P. 10). Le formulaire d’adhésion à Chèques- emploi attire expressément l’attention de son signataire sur le fait qu’il doit produire la copie du permis de séjour de l’employé ou toute autre pièce attestant que l’employé séjourne légalement en Suisse (P. 2 Bordereau appel). A.W.________ déclarait son employée aux assurances sociales et remplissait pour l’intéressée une déclaration d’impôt simplifiée dans le canton de Vaud avant de la lui soumettre pour signature (P. 18). F.________ avait un numéro AVS et l’impôt était prélevé à la source (P. 10). Le 14 janvier 2015, le Service de l’emploi a dénoncé la prévenue au Ministère public.</w:t>
      </w:r>
    </w:p>
    <w:p>
      <w:r>
        <w:t>- 9 -</w:t>
      </w:r>
    </w:p>
    <w:p>
      <w:r>
        <w:rPr>
          <w:b/>
        </w:rPr>
        <w:t>E. 3</w:t>
      </w:r>
    </w:p>
    <w:p>
      <w:r>
        <w:t>L’appelante conteste s’être rendue coupable d’infraction à la LEtr et invoque l’erreur de droit, niant qu’elle avait conscience de l’illicéité de son acte.</w:t>
      </w:r>
    </w:p>
    <w:p>
      <w:r>
        <w:rPr>
          <w:b/>
        </w:rPr>
        <w:t>E. 3.1</w:t>
      </w:r>
    </w:p>
    <w:p>
      <w:r>
        <w:t>et 3.2) et avoir entrepris toutes les démarches nécessaires préalablement à l’engagement de F.________. Elle s’est en outre acquittée de toutes les charges sociales de son employée et l’impôt a été prélevé à la source. Tout bien considéré, une peine pécuniaire de 30 jours-amende à 100 fr. le jour, avec sursis pendant 2 ans, et une amende à 500 fr., convertible en 5 jours de peine privative de liberté de substitution en cas de non-paiement fautif, sont adéquates pour sanctionner les agissements de l’appelante. Partant, le jugement de première instance doit être modifié dans ce sens.</w:t>
      </w:r>
    </w:p>
    <w:p>
      <w:r>
        <w:rPr>
          <w:b/>
        </w:rPr>
        <w:t>E. 3.1.1</w:t>
      </w:r>
    </w:p>
    <w:p>
      <w:r>
        <w:t>L’art. 91 al. 1 LEtr prescrit qu’avant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(TF 2C_1039/2013 du 16 avril 2014 consid. 5.1 ; TF 2C_783/2012 du 10 octobre 2012 consid. 2.1 ; TF 2C_357/2009 du 16 novembre 2009 consid. 5.3). Aux termes de l’art. 117 LEtr, quiconque, intentionnellement, emploie un étranger qui n’est pas autorisé à exercer une activité lucrative</w:t>
      </w:r>
    </w:p>
    <w:p>
      <w:r>
        <w:t>- 11 - en Suisse ou a recours, en Suisse, à une prestation de services transfrontaliers d’une personne qui n’a pas l’autorisation requise, est puni d’une peine privative de liberté d’un an au plus ou d’une peine pécuniaire. Dans les cas graves, la peine sera une peine privative de liberté trois ans au plus ou une peine pécuniaire. En cas de peine privative de liberté, une peine pécuniaire est également prononcée (al. 1).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Si l’auteur agit par négligence, il est puni d’une amende de 20'000 fr. au plus (al. 3).</w:t>
      </w:r>
    </w:p>
    <w:p>
      <w:r>
        <w:rPr>
          <w:b/>
        </w:rPr>
        <w:t>E. 3.1.2</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consid. 3.1 p. 241). lI pense, à tort, que l’acte concret qu’il commet est conforme au droit. Déterminer ce que l’auteur d’une infraction a su, cru ou voulu et, en particulier, l’existence d’une erreur relève de l’établissement des faits (cf. ATF 135 IV 152 consid. 2.3.2 p. 156 ; arrêt 6B_139/2010 du 24 septembre 2010 consid. 4.1, in JdT 2010 I 576).</w:t>
      </w:r>
    </w:p>
    <w:p>
      <w:r>
        <w:rPr>
          <w:b/>
        </w:rPr>
        <w:t>E. 3.2</w:t>
      </w:r>
    </w:p>
    <w:p>
      <w:r>
        <w:t>En l’espèce, l’appelante a reconnu avoir employé F.________ en qualité de femme de ménage alors que celle-ci ne disposait d’aucune autorisation de séjour et de travail en Suisse. Quand bien même l’appelante a joué la transparence dans ses rapports contractuels avec son employée en passant par Chèques-emploi qui prélevait les assurances sociales et l’impôt à la source, et en remplissant pour elle une déclaration d’impôt simplifiée, il lui incombait, en sa qualité d’employeur au sens des art. 91 al. 1 et 117 LEtr, de vérifier si l’employée étrangère à son service</w:t>
      </w:r>
    </w:p>
    <w:p>
      <w:r>
        <w:t>- 12 - bénéficiait d’un permis de travail. Partant, en ne faisant pas les vérifications d’usage, l’appelante a failli à ses obligations d’employeur et violé son devoir de diligence. L’appelante fait valoir qu’elle pensait, dans la mesure où cette personne lui avait été recommandée par un tiers et qu’elle avait fait appel aux services de Chèques-emploi, que tout était légalement en ordre et que l’obtention d’une autorisation de travail pour son employée de maison n’était pas nécessaire. Or, le formulaire d’adhésion à Chèques-emploi attire expressément l’attention de son signataire sur le fait qu’il doit produire la copie du permis de séjour de l’employé ou toute autre pièce attestant que l’employé séjourne légalement en Suisse (P. 2 Bordereau appel), ce que l’appelante n’a pas fait. De plus, sur le relevé détaillé des salaires perçus par l’employée établi annuellement par Chèques-emploi et envoyé à l’appelante figure la mention « inconnu » sous la rubrique « permis » (P. 8 Bordereau appel). Ainsi, contrairement à ce qu’elle prétend, l’appelante ne pouvait ignorer qu’elle devait s’assurer que son employée de maison dispose d’un permis de travail en regardant son permis de séjour ou en consultant les autorités compétentes. Dans ces conditions, la cour de céans doit admettre, à l’instar du premier juge, que l’appelante était tout à fait en mesure de se rendre compte que son comportement était illicite. Partant, c’est à tort que l’appelante invoque l’erreur de droit, de sorte que l’art. 21 CP n’est pas applicable et que la condamnation de l’appelante pour infraction à la LEtr doit être confirmée. L’appel doit donc être rejeté sur ce point.</w:t>
      </w:r>
    </w:p>
    <w:p>
      <w:r>
        <w:rPr>
          <w:b/>
        </w:rPr>
        <w:t>E. 4</w:t>
      </w:r>
    </w:p>
    <w:p>
      <w:r>
        <w:t>L’appelante, qui conclut à son acquittement, ne conteste pas la peine en tant que telle. L’infraction retenue par le premier juge étant confirmée, la quotité de la peine infligée au prévenu doit être examinée d’office par la cour de céans.</w:t>
      </w:r>
    </w:p>
    <w:p>
      <w:r>
        <w:rPr>
          <w:b/>
        </w:rPr>
        <w:t>E. 4.1</w:t>
      </w:r>
    </w:p>
    <w:p>
      <w:r>
        <w:t>Aux termes de l'art. 47 CP, le juge fixe la peine d'après la culpabilité de l'auteur. Il prend en considération les antécédents et la situation personnelle de ce dernier ainsi que l'effet de la peine sur son</w:t>
      </w:r>
    </w:p>
    <w:p>
      <w:r>
        <w:t>- 13 -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La combinaison prévue à l'art. 42 al. 4 CP constitue un "sursis qualitativement partiel" (ATF 134 IV 1 consid.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p. 8 ; ATF134 IV 60 consid. 7.3.2). Pour tenir compte du</w:t>
      </w:r>
    </w:p>
    <w:p>
      <w:r>
        <w:t>- 14 -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(ATF 135 IV 188 consid. 3.4.4).</w:t>
      </w:r>
    </w:p>
    <w:p>
      <w:r>
        <w:rPr>
          <w:b/>
        </w:rPr>
        <w:t>E. 4.2</w:t>
      </w:r>
    </w:p>
    <w:p>
      <w:r>
        <w:t>En l’espèce, le premier juge a fixé la peine pécuniaire à 90 jours-amende à 100 fr. le jour, avec sursis pendant 2 ans et a condamné la prévenue à une amende de 1800 fr. à titre de sanction immédiate. On ne saurait suivre l’appréciation du premier juge qui a considéré que la culpabilité de la prévenue n’était pas négligeable dans la mesure où l’activité délictuelle avait duré plus de six ans. Procédant à sa propre appréciation, la cour de céans, qui n’est guère sensible ici à la longue période délictueuse, considère que la peine infligée à la prévenue est excessive au regard de la culpabilité de la prévenue qui n’a pas d’antécédents et qu’il doit être tenu compte du fait que l’appelante pensait, à tort, être de bonne foi, et dans son bon droit (cf. supra consid.</w:t>
      </w:r>
    </w:p>
    <w:p>
      <w:r>
        <w:rPr>
          <w:b/>
        </w:rPr>
        <w:t>E. 5</w:t>
      </w:r>
    </w:p>
    <w:p>
      <w:r>
        <w:t>La condamnation de la prévenue, assistée d’un défenseur de choix, étant confirmée, il n’y a pas matière à indemnisation, les conditions d’octroi d’une indemnité au sens de l’art. 429 CPP n’étant pas réalisées. Cette conclusion doit ainsi être rejetée.</w:t>
      </w:r>
    </w:p>
    <w:p>
      <w:r>
        <w:t>- 15 -</w:t>
      </w:r>
    </w:p>
    <w:p>
      <w:r>
        <w:rPr>
          <w:b/>
        </w:rPr>
        <w:t>E. 6</w:t>
      </w:r>
    </w:p>
    <w:p>
      <w:r>
        <w:t>En définitive, l’appel interjeté par A.W.________ doit être partiellement admis et le jugement entrepris réformé dans le sens des considérants. Vu l’issue de la cause, les frais de la procédure d’appel, constitués de l’émolument du présent jugement, par 1’390 fr. (art. 21 al. 1 et 2 TFIP [Tarif des frais de procédure et indemnités en matière pénale du 28 septembre 2010 ; RSV 312.03.1]), doivent être mis par moitié à la charge de A.W.________,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