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PE15.000265 vom 17. November 2016</w:t>
      </w:r>
    </w:p>
    <w:p>
      <w:r>
        <w:t>VD Tribunal cantonal, 2016-11-17, FR</w:t>
      </w:r>
    </w:p>
    <w:p>
      <w:r>
        <w:rPr>
          <w:b/>
        </w:rPr>
        <w:t xml:space="preserve">Quelle: </w:t>
      </w:r>
      <w:r>
        <w:t>https://mcp.opencaselaw.ch/entscheid/vd_gerichte_PE15.000265</w:t>
      </w:r>
    </w:p>
    <w:p>
      <w:r>
        <w:t>FR: VD_GERICHTE PE15.000265 du 17 novembre 2016</w:t>
      </w:r>
    </w:p>
    <w:p>
      <w:r>
        <w:t>IT: VD_GERICHTE PE15.000265 del 17 novembre 2016</w:t>
      </w:r>
    </w:p>
    <w:p>
      <w:pPr>
        <w:pStyle w:val="Heading2"/>
      </w:pPr>
      <w:r>
        <w:t>Erwägungen</w:t>
      </w:r>
    </w:p>
    <w:p>
      <w:r>
        <w:rPr>
          <w:b/>
        </w:rPr>
        <w:t>E. 1</w:t>
      </w:r>
    </w:p>
    <w:p>
      <w:r>
        <w:t>Originaire du [...], R.________ est née le 12 janvier 1966 à [...]. Elle est divorcée et a une fille qui n’est plus à sa charge. Elle vit en sous- location chez son ex-ami, [...]. Elle bénéficie du revenu d'insertion et en perçoit environ 1'150 fr. par mois. L’essentiel de son assurance-maladie est payé directement par les services sociaux. Elle a de nombreuses dettes, constituées notamment d'arriérés d'impôts.</w:t>
      </w:r>
    </w:p>
    <w:p>
      <w:r>
        <w:rPr>
          <w:b/>
        </w:rPr>
        <w:t>E. 2</w:t>
      </w:r>
    </w:p>
    <w:p>
      <w:r>
        <w:t>Le casier judiciaire de la prévenue mentionne que, le 24 octobre 2008, le Tribunal d’arrondissement II Bienne-Nidau l'a condamnée, pour crime contre la Loi fédérale sur les stupéfiants, à une peine privative de liberté de 14 mois, avec sursis pendant 3 ans.</w:t>
      </w:r>
    </w:p>
    <w:p>
      <w:r>
        <w:rPr>
          <w:b/>
        </w:rPr>
        <w:t>E. 2.3</w:t>
      </w:r>
    </w:p>
    <w:p>
      <w:r>
        <w:t>En vertu du principe de proportionnalité (art. 197 al. 1 let. c et d et 269 al. 1 let. b CPP), la mesure de surveillance doit encore être adéquate et poursuivre un intérêt public ; elle doit ainsi être susceptible d'obtenir des résultats concrets. Les circonstances d'espèce sont dès lors déterminantes pour examiner la gravité de l'infraction ; à cet égard, il n'est pas en soi suffisant que celle-ci figure dans le catalogue de l'art. 269 al. 2 CPP.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141 IV 459 consid. 4. 1 p. 461 s.). Enfin, une surveillance ne peut être autorisée que si elle respecte le principe de subsidiarité (art. 269 al. l let. e CPP). Celui-ci présuppose notamment que ['autorité examine d'abord si une autre mesure moins incisive peut atteindre le résultat recherché (ultima ratio ; ATF 141 IV459consid. 4.1 p. 462). "</w:t>
      </w:r>
    </w:p>
    <w:p>
      <w:r>
        <w:rPr>
          <w:b/>
        </w:rPr>
        <w:t>E. 3.1</w:t>
      </w:r>
    </w:p>
    <w:p>
      <w:r>
        <w:t>Dans un arrêt 1B_63/2016 du 8 juin 2016, notre Haute Cour a indiqué ce qui suit : " […] 2.1 Selon l'art. 269 al. 1 CPP, le ministère public peut ordonner la surveillance de la correspondance par poste et télécommunication aux conditions suivantes : de graves soupçons laissent présumer que l'une des infractions visées à l'alinéa 2 a été commise […] ; cette mesure se justifie au regard de la gravité de l'infraction (let. b) ; les mesures prises</w:t>
      </w:r>
    </w:p>
    <w:p>
      <w:r>
        <w:t>- 6 - jusqu'alors dans le cadre de l'instruction sont restées sans succès ou les recherches n'auraient aucune chance d'aboutir ou seraient excessivement difficiles en l'absence de surveillance (let. c ; ci-après consid. 2. 3). Seules les infractions visées par le catalogue exhaustif de l'art. 269 al. 2 CPP peuvent justifier une surveillance ; parmi celles-ci figurent les infractions réprimées à l'art. 19 al. 2 de la loi fédérale du 3 octobre 1951 sur les stupéfiants et les substances psychotropes (LStup ; RS 812.121 ; art. 269 al. 2 let. f CPP). […]. 2.2.1 Selon la doctrine, la gravité des soupçons au sens de l'art. 269 al. 1 let. a CPP doit atteindre celle requise pour la mise en détention provisoire (cf. art. 221 al. 1 CPP ["fortement soupçonné", "dringend verdächtig", "gravemente indiziato"] ; Marc Jean-Richard-Dit-Bressel,in Basler Kommentar, Schweizerische Strafprozessordnung, Art. 196-457 StPO, 2e éd. 2014, no 34 ad art. 269 CPP ; Franz Riklin, (StPO) Kommentar, Schweizerische Strafprozessordnung, 2e éd. 2014, no 4 ad remarques préliminaires ad art. 269-298d CPP et n° 1 ad art. 269 CPP ; Niklaus Schmid, Praxiskommentar, Schweizerische Strafprozessordnung, 2e éd. 2013, n° 6 ad art. 269 CPP ; Jeanneret/Kuhn, Précis de procédure pénale, 2013, n. 14094 ; Moreillon/Parein-Reymond, Petit commentaire, Code de procédure pénale, 2013, no 6 ad art. 269 CPP ; Zufferey/Bacher, in Commentaire romand, Code de procédure pénale suisse, 2011, n° 8 ad art. 269 CPP). Selon Hansjakob, le degré de gravité devrait cependant être moins élevé s'agissant d'une mesure de surveillance que celui exigé pour une détention, dès lors que les éléments obtenus lors de la première mesure peuvent permettre le prononcé de la seconde (Thomas Hansjakob, in Donatsch/hansjakob/ Lieber, Kommentar zur Schweizerischen Strafprozessordnung (StPO), 2e éd. 2014, n° 19 ad art. 269 CPP). L'intensité des charges propres à motiver notamment un maintien en détention n'est pas la même aux divers stades de l'instruction pénale ; ainsi, dans les premiers temps de l'enquête, des soupçons encore peu précis peuvent être suffisants (ATF 137 IV 122 consid. 3.2 p. 126 s. ; arrêts 1B_56/2016 du 7 mars 2016 consid. 2. 1 ; 1B_352/2015 du 27 octobre 2015 consid. 2.2 et les arrêts cités). Tel n'est cependant pas le cas de vagues suspicions ne se fondant sur aucun motif objectif ; en outre, les charges doivent être objectivement fondées et vérifiables (Zufferey/Bacher, op. cit., n° 8 ad art. 269 CPP). Il n'est en revanche pas nécessaire de prouver les éléments de la qualification déjà au moment de statuer sur l'admissibilité de la mesure (ATF 129 IV 188 consid. 3. 2.3 p. 194 s. ; arrêt 1B_425/2010 du 22 juin 2011 consid. 3. 1). Il faut aussi tenir compte de la gravité de l'infraction examinée, de l'existence, le cas échéant, d'une décision judiciaire préalable relative à de tels soupçons, ainsi que de</w:t>
      </w:r>
    </w:p>
    <w:p>
      <w:r>
        <w:t>- 7 - l'avancée depuis lors de l'instruction (arrêt 1B_230/2013 du 26 juillet 2013 consid. 5. 1. 2). 2.2.2 Pour effectuer ce contrôle, le Tribunal des mesures de contrainte se fondera en particulier sur la demande du ministère public, l'ordre de surveillance de ce dernier, un exposé des motifs et les actes déterminants du dossier (cf. art. 274 al. 1 let. a et b CPP). La requête contiendra notamment une - courte - description de l'état de fait, l'indication de l'infraction poursuivie et des circonstances fondant les graves soupçons (Jean-Richard-dit-Bressel, op. cit., n° 5 ad art. 274 CPP; Hansjakob, op. cit., n° 4 ad art. 274 CPP; Riklin, op. cit., n° 2 ad art. 274 CPP ; Moreillon/Parein-Reymond, op. cit., n" 4 ad art. 274 CPP ; Niklaus Oberholzer, Grundzüge des Strafprozessrechts, 3e éd. 2012, n° 1199 p. 424 ; Zufferey/Bacher, op. cit., n° 5 ad art. 274 CPP). Elle exposera de plus les démarches entreprises au cours de l'enquête, en particulier celles restées sans succès (cf. art. 269 al. 1 let. c CPP ; Oberholzer, op. cit., n° 1199 p. 424 ; Zufferey/Bacher, op. cit., n° 5 ad art. 274 CPP). Quant aux actes déterminants que doit fournir le ministère public au Tribunal des mesures de contrainte, il peut s'agir de pièces à conviction au sens de l'art. 192 CPP (Jean- Richard-dit-Bressel, op. cit., n° 35 ad art. 269 CPP ; Zufferey/ Bacher, op. cit., n° 6 ad art. 274 CPP ; Alexis Schmocker, in Commentaire romand. Code procédure pénale, 2011, n° 9 ad art. 221 CPP, auteur citant en matière de détention provisoire une arrestation en flagrant délit, des aveux a priori crédibles, des empreintes digitales et/ou ADN). La doctrine mentionne aussi des rapports de police et/ou des notes du ministère public (Jean-Richard-dit-bressel, op. cit., n° 5 ad art. 274 CPP), voire même des éléments recueillis au cours des premières 24 heures de surveillance (Zufferey/Bacher, op. cit., n° 6 ad art. 274 CPP). L'établissement des graves soupçons peut aussi se fonder sur les déclarations de témoins, de parties (art. 104 CPP), d'autres participants (art. 105 CPP), ainsi que de collaborateurs des autorités pénales (Jean-Richard-dit-Bressel, op. cit., no 35 ad art. 269 CPP ; Zufferey/Bacher, op. cit., n° 8 ad art. 269 CPP et n° 6 ad art. 274 CPP). 2.2.3. Il ne faut cependant pas perdre de vue que les déclarations de parties ou de témoins peuvent manquer d'objectivité (Zufferey/ Bacher, op. cit., n° 8 ad art. 269 CPP). Dès lors, la seule affirmation - notamment d'une partie - sans indication de source ou sans avoir le caractère spécifique de témoignage n'est en principe pas suffisante (Jean-Richard-dit- Bressel, op. cit., no 35 ad art. 269 CPP). Il en va de même de simples spéculations, de rumeurs ou de suppositions générales (arrêt 1B_516/2011 du 17 novembre 2011 consid. 2. 1 ; Jonas Weber, in Basler Kommentar, Schweizerische Strafprozessordnung, Art. 196-457 (StPO), 2e éd. 2014, n° 7 ad</w:t>
      </w:r>
    </w:p>
    <w:p>
      <w:r>
        <w:t>- 8 - art. 197 CPP). Une appréciation plus nuancée est envisageable s'agissant des éléments relevés par la police dans ses rapports. En effet, il arrive que ceux-ci ne puissent pas être davantage étayés, notamment afin de protéger, provisoirement ou durablement, l'identité de certains informateurs ; l'utilisation de telles informations n'en est pas pour autant exclue si celles-ci semblent objectivement plausibles au vu des circonstances entourant l'enquête (Hansjakob, op. cit., n° 3 ad art. 274 CPP).</w:t>
      </w:r>
    </w:p>
    <w:p>
      <w:r>
        <w:rPr>
          <w:b/>
        </w:rPr>
        <w:t>E. 3.2</w:t>
      </w:r>
    </w:p>
    <w:p>
      <w:r>
        <w:t>Entre janvier 2013 et le 8 janvier 2015, date de son interpellation, R.________ s’est livrée à un trafic de pilules thaïes et de cristal, achetant notamment à Lausanne et Berne, pour le compte de plusieurs personnes. Ainsi, il a été établi que la prévenue avait vendu ou</w:t>
      </w:r>
    </w:p>
    <w:p>
      <w:r>
        <w:t>- 4 - remis plus de quinze pilules thaïes et plus de quarante-deux grammes de cristal. Les mises en cause suivantes ont été recueillies :</w:t>
      </w:r>
    </w:p>
    <w:p>
      <w:r>
        <w:rPr>
          <w:b/>
        </w:rPr>
        <w:t>E. 3.2.1</w:t>
      </w:r>
    </w:p>
    <w:p>
      <w:r>
        <w:t>En l'espèce, s'agissant de l'exigence de graves soupçons, le rapport de police évoque une "source confidentielle". Il n'en dit pas plus ; on ignore tout de cette source. Cela étant, l'appelante ne se plaint pas du principe, pour la police, de se fonder sur des "sources confidentielles", mais sur le fait que cette source s'est trompée puisqu'elle supposait une complicité dans un important trafic d'un nommé [...], soupçon qui ne s'est pas vérifié. L'appelante soutient que la police a fait du "phishing" sur la base de "faibles éléments et de renseignements peu fiables". Or, ce n'est pas a posteriori, en fonction du résultat de l'enquête, qu'il faut se demander si les éléments présentés par la police pour demander une mesure de surveillance constituent des soupçons suffisants, mais au moment où la demande est faite. Dans les affaires de stupéfiants, il est parfaitement usuel pour la police de se fonder, pour débuter une enquête, sur des déclarations d'indicateurs dont l'identité est protégée. Si l'on n'admettait plus ce mode de faire, on pourrait renoncer à</w:t>
      </w:r>
    </w:p>
    <w:p>
      <w:r>
        <w:t>- 9 - combattre le trafic et et viderait de sa substance l'art. 269 al. 2 let. f CPP. Le fait que l'indicateur se soit trompé ne saurait donc, a posteriori, rendre illicite une mesure de surveillance licite au départ. Dans l'arrêt cité plus haut, le Tribunal fédéral a confirmé l'admissibilité de "sources sûres et confidentielles" mentionnées dans un rapport de police, au regard du stade précoce de l'enquête, précisant que ce serait bien l'enquête qui pourrait ensuite confirmer ou infirmer le rapport de police. En l'espèce la situation est similaire si ce n'est que la source ne s'est pas révélée sûre.</w:t>
      </w:r>
    </w:p>
    <w:p>
      <w:r>
        <w:rPr>
          <w:b/>
        </w:rPr>
        <w:t>E. 3.2.2</w:t>
      </w:r>
    </w:p>
    <w:p>
      <w:r>
        <w:t>L'appelante critique le raisonnement du Tribunal de police qui a considéré que les soupçons n'étaient pas dénués de tout fondement puisque l'accusée s'était bien rendue coupable d'infraction à la Lstup (jugement p. 20). Elle est d'avis que le premier juge a ainsi justifié une mesure de contrainte a posteriori pour le motif que "la pêche a été bonne". Il est vrai que la motivation du premier juge n'est pas la bonne, mais il n'en demeure pas moins que la mesure doit être considérée comme licite, parce que la police a agi sur la base des indications d'une source confidentielle, dont, a priori, elle ne pouvait pas connaître l'inexactitude. L'appelante fait la même erreur que celle qu'elle reproche au premier juge : elle apprécie la licéité d'une mesure de contrainte en se fondant sur le résultat. Dans la conclusion de sa déclaration d'appel, la prévenue soutient que la surveillance a été utilisée pour poursuivre une infraction qui ne figure pas dans la liste de l'art. 269 al. 2 CPP. En réalité, là encore, elle confond motif de la surveillance et résultat de celle-ci. La surveillance est licite si les soupçons portent sur une des infractions de la liste ; elle n'en devient pas illicite si l'enquête ne permet d'établir qu'une infraction moins grave non mentionnée.</w:t>
      </w:r>
    </w:p>
    <w:p>
      <w:r>
        <w:rPr>
          <w:b/>
        </w:rPr>
        <w:t>E. 3.2.3</w:t>
      </w:r>
    </w:p>
    <w:p>
      <w:r>
        <w:t>L'appelante critique également un courrier du Procureur (P. 51), qui aurait tenté de justifier la mesure sur la base de l'art. 273 CPP. Elle a mal lu ce courrier parce qu'en réalité, le Procureur y admet que la mesure de l'art. 269 CPP est problématique mais fait valoir qu'une mesure de l'art. 273 CPP était en revanche possible et indique qu'il ne sera dès</w:t>
      </w:r>
    </w:p>
    <w:p>
      <w:r>
        <w:t>- 10 - lors tenu compte que des éléments fournis par la surveillance rétroactive. Peu importe toutefois, dans la mesure où on admet la licéité de la surveillance active.</w:t>
      </w:r>
    </w:p>
    <w:p>
      <w:r>
        <w:rPr>
          <w:b/>
        </w:rPr>
        <w:t>E. 3.2.4</w:t>
      </w:r>
    </w:p>
    <w:p>
      <w:r>
        <w:t>S'agissant du principe de subsidiarité, l'appelante fait valoir que la police aurait pu examiner les relations téléphoniques de [...], à la rigueur les siennes, ou encore organiser une audition de confrontation. Ce grief doit aussi être rejeté. Une audition de confrontation sans aucune preuve en mains des enquêteurs n'amène rien du tout. On sait par ailleurs que les membres d'un réseau de trafiquants évitent de se téléphoner, changent fréquemment d'appareil, de carte SIM, etc. de sorte qu'un contrôle des relations téléphoniques de [...] et de l'appelante n'aurait pas été suffisant pour détecter des contacts.</w:t>
      </w:r>
    </w:p>
    <w:p>
      <w:r>
        <w:rPr>
          <w:b/>
        </w:rPr>
        <w:t>E. 3.2.5</w:t>
      </w:r>
    </w:p>
    <w:p>
      <w:r>
        <w:t>L'appelante ne fait valoir aucun autre grief à l'appui de sa conclusion libératoire. Elle admet expressément la qualification juridique des faits. Sa condamnation s'impose donc. 4. L'appelante conclut subsidiairement au prononcé d'une peine plus légère.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- 11 -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129 IV 6 consid. 6.1 p. 20).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 CAPE 19 mai 2016/163). 4.2 En l'espèce la prévenue a été condamné en 2008 pour crime contre la LStup (Loi fédérale sur les stupéfiants et les substances psychotropes du 3 octobre 1951 ; RS 812.12) à une peine privative de liberté de 14 mois, avec sursis durant 3 ans. Malgré cela, elle a récidivé, achetant pour des tiers en tout cas 15 pilules thaï et 42 g de méthamphétamine. Elle joue sur les mots pour minimiser sa culpabilité, estimant ne pas s'être rendue coupable de "trafic". Elle est consommatrice. Avec le Tribunal de police, on doit admettre que le pronostic est défavorable et que seule une peine de prison peut avoir un effet dissuasif. Les conditions pour prononcer une courte peine sont donc réalisées (art. 41 CP) et la peine ferme de trois mois est adéquate. Le jugement ne prête donc pas le flanc à la critique sur ce point. On confirmera également l'amende infligée pour la contravention à R.________ (art. 106 CP), qui ne la conteste d'ailleurs pas.</w:t>
      </w:r>
    </w:p>
    <w:p>
      <w:r>
        <w:t>- 12 - 5. En conclusion, l'appel doit être rejeté aux frais de son auteur. 6. Il reste à statuer sur l'indemnité d'office à allouer à Me César Montalto. 6.1 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 RSV 211.02.3] ; ATF 137 III 185 ; CAPE 14 juillet 2016/245 ; CAPE 10 janvier 2017/13). 6.2 En l'espèce, Me César Montalto a produit une liste de frais faisant état, pour la procédure de seconde instance, de 6 h 24 de travail, 27 fr. 60 de débours et 94 fr. 35 de TVA, soit un total de 1'273 fr. 95. Il doit être fait droit à cette requête qui est raisonnable compte tenu du travail effectué et la nature de l'affaire.</w:t>
      </w:r>
    </w:p>
    <w:p>
      <w:r>
        <w:rPr>
          <w:b/>
        </w:rPr>
        <w:t>E. 8</w:t>
      </w:r>
    </w:p>
    <w:p>
      <w:r>
        <w:t>janvier 2015, date de son interpellation, R.________ a consommé des pilules thaïes, à raison de dix à vingt pilules par mois, durant quatre à huit mois par année. Entre août ou septembre 2014 et le 8 janvier 2015, date de son interpellation, la prévenue a également consommé occasionnellement de la marijuana.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