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PE15.000219 vom 16. Juni 2015</w:t>
      </w:r>
    </w:p>
    <w:p>
      <w:r>
        <w:t>VD Tribunal cantonal, 2015-06-16, FR</w:t>
      </w:r>
    </w:p>
    <w:p>
      <w:r>
        <w:rPr>
          <w:b/>
        </w:rPr>
        <w:t xml:space="preserve">Quelle: </w:t>
      </w:r>
      <w:r>
        <w:t>https://mcp.opencaselaw.ch/entscheid/vd_gerichte_PE15.000219</w:t>
      </w:r>
    </w:p>
    <w:p>
      <w:r>
        <w:t>FR: VD_GERICHTE PE15.000219 du 16 juin 2015</w:t>
      </w:r>
    </w:p>
    <w:p>
      <w:r>
        <w:t>IT: VD_GERICHTE PE15.000219 del 16 giugno 2015</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t>- 3 -</w:t>
      </w:r>
    </w:p>
    <w:p>
      <w:r>
        <w:rPr>
          <w:b/>
        </w:rPr>
        <w:t>E. 1.2</w:t>
      </w:r>
    </w:p>
    <w:p>
      <w:r>
        <w:t>En l’espèce, interjeté en temps utile, auprès de l’autorité compétente, par la plaignante qui a qualité pour recourir (cf. art. 382 al. 1 CPP) et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Conformément à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cette norme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 lorsqu'il n'a pas empêché ce résultat de se produire, alors qu'il le pouvait (cf. art. 11 CP; ATF 133 IV 158 c. 5.1; ATF 113 IV 68 c. 5). Selon la jurisprudence, un comportement viole le devoir de prudence lorsque l’auteur, au moment des faits, aurait pu, compte tenu de</w:t>
      </w:r>
    </w:p>
    <w:p>
      <w:r>
        <w:t>- 4 - ses connaissances et de ses capacités, se rendre compte, ou dû tenir compte, de la mise en danger d’autrui qu’il provoquait et qu’il dépassait simultanément les limites du risque admissible (ATF 136 IV 76 c. 2.3.1; SJ 2011 I p. 86;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2.1;TF 6B_934/2009 du 22 décembre 2009 c. 1.1). S’il y a eu violation des règles de la prudence, encore faut-il que celle-ci puisse être imputée à faute, c’est-à-dire que l'on puisse reprocher à l'auteur, compte tenu de ses circonstances personnelles, d'avoir fait preuve d'un manque d'effort blâmable (ATF 122 IV 145 c. 3b). Enfin, l'art. 125 CP suppose que cette violation se soit trouvée en rapport de causalité naturelle et adéquate avec le résultat de l'infraction, soit des lésions corporelles. Un comportement est la cause naturelle d'un résultat s'il en constitue l'une des conditions sine qua non, c'est-à-dire si, sans lui, le résultat ne se serait pas produit (ATF 133 IV 158 c. 6.1; Corboz, Les infractions en droit suisse, vol. I, 3e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w:t>
      </w:r>
    </w:p>
    <w:p>
      <w:r>
        <w:t>- 5 - qu’il soit établi avec une haute vraisemblance, ou une vraisemblance confinant à la certitude, que si l’auteur avait agi d’une manière conforme à son devoir de prudence, le résultat ne se serait pas produit (ATF 135 IV 56 c. 2.1, JT 2010 IV 43).</w:t>
      </w:r>
    </w:p>
    <w:p>
      <w:r>
        <w:rPr>
          <w:b/>
        </w:rPr>
        <w:t>E. 2.3</w:t>
      </w:r>
    </w:p>
    <w:p>
      <w:r>
        <w:t>En l’espèce, lors de son audition-plainte (PV aud. 1), la recourante a expliqué que les médecins qui ont soigné son fils lui avaient expliqué que si celui-ci avait pu être ausculté dans les six heures après l’impact, ils auraient probablement pu sauver son testicule. Il ressort du rapport établi au terme des investigations policières (P. 4) que l’accident s’est produit le mercredi en fin de journée. Toutefois, T.________ n’a pas parlé aux éducateurs de l’accident et de ses douleurs aux testicules avant le vendredi matin. Il a probablement demandé des antidouleurs aux veilleurs de nuit, à tout le moins dans la nuit de jeudi à vendredi, mais sans indiquer où se localisaient ses douleurs (il a parlé de douleurs aux jambes), ni en exposer les motifs (l’accident de tyrolienne), si bien que ceux-ci ne pouvaient pas, compte tenu des explications lapidaires du jeune homme, se rendre compte de l’urgence des soins nécessaires. Au surplus, l’adolescent, qui a eu sa mère au téléphone le jeudi soir, n’a pas non plus profité de cette occasion pour évoquer l’accident, ni pour lui faire part de quelconques douleurs. Lors des journées de jeudi et vendredi, les différentes personnes qui ont côtoyé l’adolescent ont toutes constaté une activité physique normale (il s’asseyait et se levait, a joué au basket et à la playstation, s’est disputé avec un camarade lors du repas du jeudi midi et s’est rendu à pied à l’école, à l’exception du vendredi matin, où il y a été conduit en voiture après avoir parlé aux éducateurs). Le vendredi soir, il est rentré à la maison et sa mère a constaté que le testicule gauche de son fils avait la taille « d’un melon ». Sur le conseil de la centrale des médecins, elle lui a donné du Dafalgan et de l’Irfen 400. Les douleurs persistant le samedi, elle l’a finalement conduit à l’hôpital le samedi soir, soit plus de vingt-quatre heures après le retour de son fils au domicile.</w:t>
      </w:r>
    </w:p>
    <w:p>
      <w:r>
        <w:t>- 6 - A la lecture de ces éléments, il apparaît qu’au moment où T.________ a pour la première fois clairement verbalisé ses douleurs auprès des éducateurs et exposé les circonstances de l’accident, soit le vendredi matin, il s’était déjà écoulé plus de vingt-quatre heures depuis les faits. Ainsi, même une consultation médicale immédiate à ce moment-là n’aurait pas permis d’empêcher les conséquences regrettables de l’accident, soit l’ablation du testicule. En effet, selon les médecins, seule une consultation dans les six heures suivant l’impact aurait permis d’envisager de pouvoir sauver le testicule du jeune homme. Au surplus, en admettant que T.________ ait verbalisé ses douleurs plus tôt auprès de ses éducateurs, on ne saurait leur reprocher de ne pas avoir immédiatement réagi, dès lors que, quelques jours plus tard, lorsque sa mère a vu la plaie et constaté la grosseur du testicule abîmé, elle a, elle aussi, attendu plus de vingt-quatre heures avant de conduire son fils auprès d’un médecin, soit un délai largement supérieur au délai maximum permettant d’envisager les soins nécessaires pour sauver le testicule. En définitive, on ne saurait reprocher aux éducateurs une quelconque négligence ou une violation de leur devoir de prudence. C’est donc à juste titre que le Procureur a décidé de ne pas entrer en matière sur la plainte de X.________.</w:t>
      </w:r>
    </w:p>
    <w:p>
      <w:r>
        <w:rPr>
          <w:b/>
        </w:rPr>
        <w:t>E. 3</w:t>
      </w:r>
    </w:p>
    <w:p>
      <w:r>
        <w:t>Le recours, manifestement mal fondé, doit être rejeté sans autres échanges d’écritures (art. 390 al. 2 CPP) et l'ordonnance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2e éd., Bâle 2014, n. 10 ad art. 132 CPP). Les frais de la procédure de recours, constitués du seul émolument d’arrêt, par 660 fr. (art. 20 al. 1 TFIP [Tarif des frais de</w:t>
      </w:r>
    </w:p>
    <w:p>
      <w:r>
        <w:t>- 7 - procédure et indemnités en matière pénale du 28 septembre 2010, RSV 312.03.1]), seront mis à la charge de la recourante, qui succombe (art. 428 al. 1 CPP). Par ces motifs, la Chambre des recours pénale prononce : I. Le recours est rejeté. II. L’ordonnance du 13 mars 2015 est confirmée. III. La requête d’assistance judiciaire gratuite pour la procédure de recours est rejetée. IV. Les frais d’arrêt, par 660 fr. (six cent soixante francs), sont mis à la charge de X.________. V. Le présent arrêt est exécutoire. Le président : La greffière :</w:t>
      </w:r>
    </w:p>
    <w:p>
      <w:r>
        <w:t>- 8 - Du Le présent arrêt, dont la rédaction a été approuvée à huis clos, est notifié, par l'envoi d'une copie complète, à : - Mme Magalie Wyssen, avocate (pour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