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PE15.000022 vom 6. Juni 2017</w:t>
      </w:r>
    </w:p>
    <w:p>
      <w:r>
        <w:t>VD Tribunal cantonal, 2017-06-06, FR</w:t>
      </w:r>
    </w:p>
    <w:p>
      <w:r>
        <w:rPr>
          <w:b/>
        </w:rPr>
        <w:t xml:space="preserve">Quelle: </w:t>
      </w:r>
      <w:r>
        <w:t>https://mcp.opencaselaw.ch/entscheid/vd_gerichte_PE15.000022</w:t>
      </w:r>
    </w:p>
    <w:p>
      <w:r>
        <w:t>FR: VD_GERICHTE PE15.000022 du 6 juin 2017</w:t>
      </w:r>
    </w:p>
    <w:p>
      <w:r>
        <w:t>IT: VD_GERICHTE PE15.000022 del 6 giugno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RSV 312.01]; art. 80 LOJV [loi vaudoise d’organisation judiciaire du 12 décembre 1979; RSV 173.01]).</w:t>
      </w:r>
    </w:p>
    <w:p>
      <w:r>
        <w:rPr>
          <w:b/>
        </w:rPr>
        <w:t>E. 1.2</w:t>
      </w:r>
    </w:p>
    <w:p>
      <w:r>
        <w:t>En l'espèce, interjetés en temps utile et dans les formes prescrites (art. 385 al. 1 CPP) auprès de l’autorité compétente, par les prévenus qui ont qualité pour recourir (art. 382 al. 1 CPP), les recours sont recevables.</w:t>
      </w:r>
    </w:p>
    <w:p>
      <w:r>
        <w:rPr>
          <w:b/>
        </w:rPr>
        <w:t>E. 1.3</w:t>
      </w:r>
    </w:p>
    <w:p>
      <w:r>
        <w:t>Dès lors qu’en l'espèce les recours portent uniquement sur les conséquences économiques accessoires d'une décision dont le montant litigieux est inférieur à 5'000 fr. (art. 395 let. b CPP), ils relèvent de la compétence d’un membre de la Chambre des recours pénale du Tribunal cantonal statuant comme juge unique (art. 13 al. 2 LVCPP).</w:t>
      </w:r>
    </w:p>
    <w:p>
      <w:r>
        <w:rPr>
          <w:b/>
        </w:rPr>
        <w:t>E. 2</w:t>
      </w:r>
    </w:p>
    <w:p>
      <w:r>
        <w:t>Il y a lieu de traiter le recours de T.________ et celui de D.________ en un seul arrêt (cf. art. 29 al. 1 let. b CPP par renvoi de l’art. 379 CPP).</w:t>
      </w:r>
    </w:p>
    <w:p>
      <w:r>
        <w:t>- 7 -</w:t>
      </w:r>
    </w:p>
    <w:p>
      <w:r>
        <w:rPr>
          <w:b/>
        </w:rPr>
        <w:t>E. 3.1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consid. 1 b; ATF 116 la 162, JdT 1992 IV 52;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Code de procédure pénale suisse, Commentaire romand, Bâle 2011, n. 2 ad art. 426 CPP). Le fait reproché doit constituer une violation claire de la norme de comportement (ATF 119 la 332 consid. 1b; TF 6B_439/2013 précité consid. 1.1). L'acte répréhensible n'a pas à être commis intentionnellement. La négligence suffit, sans qu'il soit besoin</w:t>
      </w:r>
    </w:p>
    <w:p>
      <w:r>
        <w:t>- 8 - qu'elle soit grossière (ATF 109 la 160 consid. 4a;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la 162 consid. 2c, JdT 1992 IV 52).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TF 6B_706/2014 du 28 août 2015).</w:t>
      </w:r>
    </w:p>
    <w:p>
      <w:r>
        <w:rPr>
          <w:b/>
        </w:rPr>
        <w:t>E. 3.2</w:t>
      </w:r>
    </w:p>
    <w:p>
      <w:r>
        <w:t>En l’espèce, la décision du Ministère public de classer la procédure peut étonner. D’une part, l’enquête n’a pas été menée de manière complète. Le notaire, prétendumment à l’origine de la méthode pourtant discutable, de créer une nouvelle société pour échapper aux créanciers n’a pas été entendu par le Procureur. D’autre part, la Police de sûreté a relevé la nature pénalement problématique de l’opération (P. 24, p. 16). Dans ces conditions, on ne pouvait pas exclure avec une vraisemblance confinant à la certitude que les conditions de l’une ou l’autre des infractions pénales en cause, en particulier des art. 163 à 165 CP, n’étaient pas réalisées.</w:t>
      </w:r>
    </w:p>
    <w:p>
      <w:r>
        <w:t>- 9 - Quoi qu’il en soit, le Ministère public a opté pour le classement, ce qui ne peut être revu dans la présente procédure de recours. A partir de là, le Procureur aurait dû être cohérent. S’il a relevé qu’une partie des griefs (les retards et malfaçons dans la construction des villas de S.________ et consorts) relevaient de la justice civile, il n’apparaît pas – et le Ministère public ne le prétend du reste pas – que ces griefs civils étaient raisonnablement de nature à provoquer l’ouverture d’une enquête pénale. La motivation, selon laquelle l’enquête avait mis en évidence que les recourants avaient eu un comportement civilement condamnable, comportement qui avait donné lieu à l’instruction pénale n’est pas non plus satisfaisante. Elle n’indique pas quelle norme de comportement aurait été violée, ce que la jurisprudence impose, comme on l’a vu. A défaut d’éléments concrets, et faute d’avoir renvoyé en jugement les recourants, les frais ne pouvaient qu’être laissés à la charge de l’Etat, conséquence inévitable du classement en cause.</w:t>
      </w:r>
    </w:p>
    <w:p>
      <w:r>
        <w:rPr>
          <w:b/>
        </w:rPr>
        <w:t>E. 4</w:t>
      </w:r>
    </w:p>
    <w:p>
      <w:r>
        <w:t>En définitive, le recours doit être admis et l’ordonnance réformée en ce sens que les frais de procédure seront laissés à la charge de l’Etat. Les frais de la procédure de recours, constitués de l’émolument d’arrêt (art. 422 al. 1 CPP), par 900 fr. (art. 20 al. 1 TFIP [Tarif des frais de procédure et indemnités en matière pénale du 28 septembre 2010 ; RSV 312.03.1]), seront laissés à la charge de l’Etat (art. 423 al. 1 CPP). Enfin, les recourants qui ont obtenu gain de cause et qui ont procédé avec l'assistance d’un avocat de choix, ont droit, solidairement entre eux, à une juste indemnité pour les dépenses occasionnées par la procédure, au sens de l’art. 429 CPP, applicable par renvoi de l’art. 436 al. 1 CPP. Au vu des mémoires produits, cette indemnité sera fixée à 900 fr. (3 heures à 300 fr.), plus un montant correspondant à la TVA – étant</w:t>
      </w:r>
    </w:p>
    <w:p>
      <w:r>
        <w:t>- 10 -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72 fr., soit 972 fr. au total. Elle sera mise à la charge de l’Etat. Par ces motifs, le juge unique prononce : I. Le recours est admis. II. L’ordonnance du 27 mars 2017 est réformée comme il suit au chiffre V de son dispositif : « V. Laisse les frais de procédure, par CHF 4'575.00 (quatre mille cinq cent septante cinq francs), à la charge de l’Etat ». L’ordonnance étant confirmée pour le surplus. III. Une indemnité de 972 fr. (neuf cent septante-deux francs) est allouée à T.________ et D.________, solidairement entre eux, pour la procédure de recours, à la charge de l’Etat. IV. Les frais d’arrêt, par 900 fr. (neuf cents francs), sont laissés à la charge de l’Etat. V. L’arrêt est exécutoire. Le juge unique : La greffière : Du Le présent arrêt, dont la rédaction a été approuvée à huis clos, est notifié, par l'envoi d'une copie complète, à : - Me Christian Favre, avocat (pour T.________ et D.________),</w:t>
      </w:r>
    </w:p>
    <w:p>
      <w:r>
        <w:t>- 11 - - Ministère public central, et communiqué à : - M. le Procureur de l’arrondissement de l’Est vaudois, - Me César Montalto, avocat (pour R.________), - Me Luc Pittet, avocat (pour S.________, V.________, P.________ et J.________), - Registre foncier du District de Lavaux-Oron, - Registre foncier du District du Jura-Nord-vaudois, - Credit Suisse (Suisse) SA, à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