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PE14.026688 vom 12. Juni 2015</w:t>
      </w:r>
    </w:p>
    <w:p>
      <w:r>
        <w:t>VD Tribunal cantonal, 2015-06-12, FR</w:t>
      </w:r>
    </w:p>
    <w:p>
      <w:r>
        <w:rPr>
          <w:b/>
        </w:rPr>
        <w:t xml:space="preserve">Quelle: </w:t>
      </w:r>
      <w:r>
        <w:t>https://mcp.opencaselaw.ch/entscheid/vd_gerichte_PE14.026688</w:t>
      </w:r>
    </w:p>
    <w:p>
      <w:r>
        <w:t>FR: VD_GERICHTE PE14.026688 du 12 juin 2015</w:t>
      </w:r>
    </w:p>
    <w:p>
      <w:r>
        <w:t>IT: VD_GERICHTE PE14.026688 del 12 giugno 2015</w:t>
      </w:r>
    </w:p>
    <w:p>
      <w:pPr>
        <w:pStyle w:val="Heading2"/>
      </w:pPr>
      <w:r>
        <w:t>Volltext</w:t>
      </w:r>
    </w:p>
    <w:p>
      <w:r>
        <w:t>TRIBUNAL CANTONAL 395 PE14.026688-VIY CHAMBRE DE S RECO URS PEN ALE __________________________________________ Arrêt du 12 juin 2015 __________________ Composition : M. ABRECHT, président MM. Krieger et Maillard, juges Greffier : M. Valentino ***** Art. 319 al. 1 CPP ; 139 ch. 1 CP Statuant sur le recours interjeté le 1er mai 2015 par P.________ contre l'ordonnance de classement rendue le 9 avril 2015 par le Ministère public de l'arrondissement de Lausanne dans la cause n° PE14.026688- VIY, la Chambre des recours pénale considère : En fait : A. Le 1er septembre 2014, P.________ a déposé plainte pénale contre N.________ et C.________, leur reprochant d'avoir, entre le 14 et le 15 juin 2014, dérobé les deux tiers de la marchandise stockée dans le dépôt de son magasin "[...]" sis avenue [...] à [...] en les chargeant dans trois camions avec la complicité d'autres individus d'origine tunisienne. 351</w:t>
      </w:r>
    </w:p>
    <w:p>
      <w:r>
        <w:t>- 2 - En raison de ces faits, le Ministère public de l'arrondissement de Lausanne a ouvert une instruction pénale contre C.________ et N.________ pour vol (art. 139 ch. 1 CP [Code pénal suisse du 21 décembre 1937 ; RS 311.0]). Entendu le 7 octobre 2014 (PV aud. 1), C.________ a contesté avoir volé la marchandise appartenant à P.________. Selon ses explications, N.________ lui aurait dit que P.________ lui avait proposé de vider tout le contenu de son dépôt de [...] en échange d'un montant de 6'000 francs. C.________ aurait accepté de prendre part à l'affaire et aurait, dans ce but, remis 1'500 fr. à N.________, soit la moitié du montant de 3'000 fr. convenu entre eux. Il a admis avoir, le jour des faits, chargé divers objets provenant du dépôt en question dans deux camionnettes avec l'aide de plusieurs connaissances, en présence de P.________ et de N.________. Les camionnettes seraient ensuite parties en Tunisie, où le matériel aurait été revendu pour 4'000 francs. N.________ a confirmé les déclarations de C.________ (PV aud. 2), niant avoir volé de la marchandise. Il a précisé que le prix convenu entre lui et P.________ était de 4'000 fr. mais qu'il avait mentionné à C.________ un montant de 6'000 fr. afin de retirer de cette affaire un bénéfice de 2'000 fr., ce dont le plaignant aurait d'ailleurs été au courant. Il a ajouté avoir remis une avance de 1'000 fr. à ce dernier le jour même des faits ou le lendemain. Quant à P.________, il a expliqué avoir, ensuite de l'accord conclu oralement avec N.________, laissé librement les clés de son dépôt à ce dernier pour qu'il puisse venir à sa guise chercher le matériel, précisant qu'aucun prix n'avait été convenu à ce moment-là, mais que celui-ci devait être négocié une fois la marchandise chargée, en fonction des objets emportés. Il a ajouté s'être revu avec les prévenus peu après les faits, avoir alors convenu d'un prix de 6'000 fr., mais n'avoir par la suite pu encaisser que 1'500 fr., n'ayant, depuis lors, plus aucune nouvelle des intimés. B. Par ordonnance du 9 avril 2015, approuvée le 21 avril 2015 par le Procureur général, le Ministère public a ordonné le classement de la</w:t>
      </w:r>
    </w:p>
    <w:p>
      <w:r>
        <w:t>- 3 - procédure dirigée contre N.________ et C.________ pour vol (I) et a laissé les frais de procédure à la charge de l'Etat (II). Il a considéré que les prévenus devaient être mis au bénéfice de leurs déclarations, faute d'éléments suffisamment concrets permettant de les mettre en doute, et qu'aucune infraction ne pouvait dès lors leur être reprochée. C. Par acte du 1er mai 2015, remis à la poste le même jour, P.________ a recouru contre cette ordonnance. Par avis du 5 mai 2015, la Cour de céans a imparti un délai au 25 mai 2015 au recourant pour effectuer une avance de frais de 550 fr. à titre de sûretés (art. 383 al. 1 CPP). P.________ s’est acquitté de ce montant en temps utile. En d roit : 1. 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l’ordonnance attaquée, approuvée par le Procureur général le 21 avril 2015, a été notifiée aux parties le 22 avril 2015 (PV des opérations, p. 2). Déposé le 1er mai 2015, le recours a ainsi été interjeté en temps utile devant l’autorité compétente par la partie plaignante qui a qualité pour recourir (art. 382 al. 1 CPP). Interjeté de surcroît dans les formes prescrites (art. 385 al. 1 CPP), le recours est recevable.</w:t>
      </w:r>
    </w:p>
    <w:p>
      <w:r>
        <w:t>- 4 - 2.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w:t>
      </w:r>
    </w:p>
    <w:p>
      <w:r>
        <w:t>- 5 - principe tenu de mettre le prévenu en accusation, ce d'autant plus lorsque les infractions sont graves (TF 6B_797/2013 précité c. 2.1; ATF 138 IV 86 précité c. 4.1.2). 2.2 P.________ soutient, dans son recours, que les prévenus se seraient engagés à lui "régler le tout" à leur retour de Tunisie, où la marchandise – d’une valeur estimée par le plaignant à 14'500 fr. – avait été expédiée et que, ne l'ayant pas fait, ils se seraient rendus coupables de vol. 2.2.1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L’acte de soustraction constitue un des éléments constitutifs de cette disposition. La soustraction implique la rupture de la possession, qui suppose un acte contraire à la volonté du lésé, faute de quoi il ne saurait être question de vol (ATF 103 IV 83; Dupuis et al. [éd.], Petit commentaire, Code pénal, Bâle 2012, n. 10 ad art. 139 CP). 2.2.2 En l'espèce, il résulte tant des déclarations de P.________ (P. 5; PV aud. 4, R. 8) que de celles des prévenus (PV aud. 1, R. 7; PV aud. 2, R. 6) que ceux-ci avaient été autorisés à prendre de la marchandise stockée dans le dépôt de [...] pour la vendre (PV aud. 1, 2 et 4, R. 8), ce que le prénommé admet d'ailleurs dans son recours. Seuls le prix et le moment convenu pour son paiement divisent les parties. Le plaignant a expliqué que le prix devait être fixé après le chargement de la marchandise dans le camion (PV aud. 4, R. 6) et que les prévenus s'étaient engagés à le payer avant leur départ pour la Tunisie (P. 5, p. 2), ce qu'ils n'auraient pas fait, se limitant à lui remettre, après leur retour en Suisse, une somme de 1'500 fr. sur les 6'000 fr. convenus à ce moment-là (PV aud. 4, R. 8). Cela suffit à démontrer que le plaignant était d'accord avec la vente d'un certain nombre d'objets aux prévenus, pour un prix qui devait être fixé par</w:t>
      </w:r>
    </w:p>
    <w:p>
      <w:r>
        <w:t>- 6 - la suite, selon le recourant, ou qui aurait plus ou moins été convenu avant pour 4'000 fr., selon N.________ (PV aud. 2, R. 6). Le recourant a même expliqué avoir laissé librement les clés de son dépôt à ce dernier pour qu'il puisse venir à sa guise chercher le matériel qui lui intéressait (P. 5, p. 2). Peu importe toutefois le prix convenu. Compte tenu des éléments susmentionnés et des circonstances dans lesquelles les prévenus sont entrés en possession du matériel en question, on ne saurait considérer qu'il y a eu soustraction d'une chose mobilière contre le gré de son propriétaire (c. 2.2.1 supra). Force est dès lors de constater que les éléments constitutifs de vol au sens de l’art. 139 CP ne sont pas réunis. D'ailleurs, la compagne du plaignant, [...], qui était présente au moment du chargement de la marchandise par les prévenus, a elle-même reconnu, s'agissant des faits litigieux, qu'il n'y avait pas de vol (PV aud. 3, R. 7). Il en va de même, pour le surplus, de l'infraction d'abus de confiance au sens de l'art. 138 CP, mentionnée dans le rapport de police (P. 4, p. 6) et dans le procès-verbal d'audition du plaignant (PV aud. 4, R. 1). En effet, cette disposition protège le droit de celui qui a confié les valeurs patrimoniales à ce que celles-ci soient utilisées dans le but qu’il a assigné et conformément aux instructions qu’il a données (ATF 129 IV 257 c. 2.2.1). Or en l'espèce, les objets litigieux n'ont pas été confiés par le plaignant pour la vente, mais étaient déjà vendus aux prévenus au sortir du dépôt, de sorte qu'on ne saurait reprocher à ces derniers d'avoir agi contrairement aux instructions reçues, ce qui suffit à exclure l'existence d'un abus de confiance. Il résulte de ce qui précède que c'est à bon droit que la Procureure a considéré qu’aucune infraction ne pouvait être retenue à l’encontre des prévenus et qu’elle a classé la procédure pénale dirigée contre eux. Le litige entre les parties apparaît donc plutôt comme étant de nature civile et le plaignant pourra, le cas échéant, s'adresser, à la juridiction civile s'il entend contester le prix convenu de la marchandise vendue.</w:t>
      </w:r>
    </w:p>
    <w:p>
      <w:r>
        <w:t>- 7 - 3. En définitive,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II. L’ordonnance du 9 avril 2015 est confirmée. III. Les frais d’arrêt, par 770 fr. (sept cent septante francs), sont mis à la charge de P.________. IV. Le montant de 550 fr. (cinq cent cinquante francs) déjà versé par le recourant à titre de sûretés est imputé sur les frais mis à sa charge au chiffre III ci-dessus. V. L’arrêt est exécutoire. Le président : Le greffier :</w:t>
      </w:r>
    </w:p>
    <w:p>
      <w:r>
        <w:t>- 8 - Du Le présent arrêt, dont la rédaction a été approuvée à huis clos, est notifié, par l'envoi d'une copie complète, à : - M. P.________, - M. N.________,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