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PE14.025875 vom 18. Dezember 2015</w:t>
      </w:r>
    </w:p>
    <w:p>
      <w:r>
        <w:t>VD Tribunal cantonal, 2015-12-18, FR</w:t>
      </w:r>
    </w:p>
    <w:p>
      <w:r>
        <w:rPr>
          <w:b/>
        </w:rPr>
        <w:t xml:space="preserve">Quelle: </w:t>
      </w:r>
      <w:r>
        <w:t>https://mcp.opencaselaw.ch/entscheid/vd_gerichte_PE14.025875</w:t>
      </w:r>
    </w:p>
    <w:p>
      <w:r>
        <w:t>FR: VD_GERICHTE PE14.025875 du 18 décembre 2015</w:t>
      </w:r>
    </w:p>
    <w:p>
      <w:r>
        <w:t>IT: VD_GERICHTE PE14.025875 del 18 dicembre 2015</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auprès de l’autorité compétente, par une partie (partiellement) astreinte au paiement des frais qui a donc la qualité pour recourir (art. 382 al. 1 CPP), et satisfaisant aux conditions de forme posées par la loi (art. 385 al. 1 CPP), le recours est recevable.</w:t>
      </w:r>
    </w:p>
    <w:p>
      <w:r>
        <w:rPr>
          <w:b/>
        </w:rPr>
        <w:t>E. 1.2</w:t>
      </w:r>
    </w:p>
    <w:p>
      <w:r>
        <w:t>Le recours porte uniquement sur les frais mis à la charge du recourant, par 912 fr. 50, y compris la moitié de l’indemnité due en faveur de l’intimée. Il s’agit de conséquences économiques accessoires de la décision (cf. Stephenson/Thiriet, in: Niggli/Heer/Wiprächtiger [éd.], Basler</w:t>
      </w:r>
    </w:p>
    <w:p>
      <w:r>
        <w:t>- 4 - Kommentar, Schweizerische Strafprozess-ordnung, Jugendstrafprozessordnung, 2e éd., Bâle 2014, n. 5 ad art. 395 CPP; Juge unique CREP 23 octobre 2013/643). Dès lors, l’art. 395 al. 1 let. b CPP entre en considération. La valeur litigieuse n’excédant en l’occurrence pas 5'000 fr., le recours relève de la compétence d’un juge unique de la Chambre des recours pénale (cf. art. 395 al. 1 let. b CPP et art. 13 al. 2 LVCPP; cf., not., Juge unique CREP 30 juillet 2015/509 consid. 1.2).</w:t>
      </w:r>
    </w:p>
    <w:p>
      <w:r>
        <w:rPr>
          <w:b/>
        </w:rPr>
        <w:t>E. 2.1</w:t>
      </w:r>
    </w:p>
    <w:p>
      <w:r>
        <w:t>L'art. 423 CPP prévoit que les frais de procédure sont mis à la charge de la Confédération ou du canton qui a conduit la procédure, sauf disposition contraire.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(Constitution fédérale de la Confédération suisse du 18 avril 1999; RS 101) et 6 par. 2 CEDH (Convention du 4 novembre 1950 de sauvegarde des droits de l’homme et des libertés fondamentales;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ATF 116 Ia 162).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w:t>
      </w:r>
    </w:p>
    <w:p>
      <w:r>
        <w:t>- 5 - des principes découlant de l'art. 41 CO (Code des obligations [RS 220]; ATF 119 Ia 332 consid. 1b; ATF 116 Ia 162 consid. 2c). Le fait reproché doit constituer une violation claire de la norme de comportement (ATF 119 Ia 332 consid. 1b; ATF 116 Ia 162 consid. 2d). L'acte répréhensible n'a pas à être commis intentionnellement. La négligence suffit, sans qu'il soit besoin qu'elle soit grossière (ATF 109 Ia 160 consid. 4a). L'acte répréhensible doit en outre se trouver dans une relation de causalité adéquate avec l'ouverture de l'enquête ou les obstacles mis à celle-ci (ATF 116 Ia 162 consid. 2c). La condamnation d'un prévenu acquitté à supporter tout ou partie des frais peut en principe se fonder sur l'art. 28 CC (Code civil; RS 210) (TF 6B_832/2014 du 24 avril 2015 consid. 1.3; TF 6B_150/2014 du 23 septembre 2014 consid. 1.2). Selon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w:t>
      </w:r>
    </w:p>
    <w:p>
      <w:r>
        <w:rPr>
          <w:b/>
        </w:rPr>
        <w:t>E. 2.2</w:t>
      </w:r>
    </w:p>
    <w:p>
      <w:r>
        <w:t>En l'espèce, le Procureur a considéré qu’il convenait de mettre la moitié des frais de procédure à la charge du prévenu, dès lors qu'il avait provoqué l'ouverture de l'instruction par son comportement illicite et fautif. L’appréciation du Procureur doit être suivie. En effet, le prévenu a manifestement importuné la plaignante en particulier par un nombre considérable de SMS à contenu polémique récurrent. Il lui a ainsi adressé pas moins de 73 messages entre le 18 et le 23 octobre 2014 (P. 5/2) pour l’appeler à renouer contact avec lui en dépit du refus réitéré de l’intéressée. Il a repris ses assiduités en décembre 2014 par l’envoi de plusieurs messages sur la boîte vocale de la plaignante durant la seule journée du 5 (P. 11) et d’une douzaine d’autres messages du 8 au 15 du mois (P. 9/2). Dans leur majorité, ces communications ont un contenu vainement polémique, même si une minorité concerne les modalités du divorce des parties. Un tel comportement constitue une atteinte illicite à la</w:t>
      </w:r>
    </w:p>
    <w:p>
      <w:r>
        <w:t>- 6 - personnalité de la plaignante au sens de l’art. 28 CC. Il s’ensuit que le recourant a, de manière illicite et fautive, provoqué l'ouverture de la procédure au sens de l’art. 426 al. 2 CPP. La mise à sa charge d’une partie des frais de procédure se justifie dès lors en application de cette disposition. La proportion retenue apparaît adéquate, sinon même favorable au recourant.</w:t>
      </w:r>
    </w:p>
    <w:p>
      <w:r>
        <w:rPr>
          <w:b/>
        </w:rPr>
        <w:t>E. 3.1</w:t>
      </w:r>
    </w:p>
    <w:p>
      <w:r>
        <w:t>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CPP (let. b). Les hypothèses envisagées à l’art. 433 al. 1 CPP sont alternatives (Moreillon/Parein-Reymond, Petit commentaire, Code de procédure pénale, Bâle 2013, n. 2 ad art. 433 CPP). La partie plaignante a obtenu gain de cause au sens de l’art. 433 al. 1 let. a CPP lorsque le prévenu a été condamné et/ou si les prétentions civiles ont été admises (Mizel/ Rétornaz, in : Kuhn/Jeanneret, [éd], [éd], Commentaire romand, Code de procédure pénale suisse, Bâle 2011, n. 2 ad. art. 433 CPP). La juste indemnité, notion qui laisse un large pouvoir d’appréciation au juge, couvre les dépenses et les frais nécessaires pour faire valoir le point de vue de la partie plaignante, à l’exclusion de toutes démarches inutiles ou superflues (TF 6B_965/2013 du 3 décembre 2013 consid. 3.1.1; TF 6B_159/2012 du 22 juin 2012 consid.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consid. 2.1 et les références citées).</w:t>
      </w:r>
    </w:p>
    <w:p>
      <w:r>
        <w:rPr>
          <w:b/>
        </w:rPr>
        <w:t>E. 3.2</w:t>
      </w:r>
    </w:p>
    <w:p>
      <w:r>
        <w:t>En l’espèce, le procureur fait référence à l’art. 429 CPP lequel ne saurait toutefois justifier l’octroi d’une indemnité à la partie plaignante. Il n’en demeure pas moins que le recourant a été astreint au paiement des frais conformément à l’art. 426 al. 2 CPP. L’hypothèse prévue à l’art. 433</w:t>
      </w:r>
    </w:p>
    <w:p>
      <w:r>
        <w:t>- 7 - al. 1 let. b CPP est ainsi réalisée. C’est donc à juste titre que le procureur a mis une partie de l’indemnité allouée à la partie plaignante à la charge du recourant qui ne conteste par ailleurs pas le montant de l’indemnité fixée.</w:t>
      </w:r>
    </w:p>
    <w:p>
      <w:r>
        <w:rPr>
          <w:b/>
        </w:rPr>
        <w:t>E. 4</w:t>
      </w:r>
    </w:p>
    <w:p>
      <w:r>
        <w:t>Il résulte de ce qui précède que le recours doit être rejeté et le chiffre III du dispositif de l'ordonnance de classement du 4 septembre 2015 confirmé. Les frais de la procédure de recours, constitués en l’espèce de l’émolument d’arrêt (art. 422 al. 1 CPP), par 630 fr. (art. 20 al. 1 TFIP [tarif des frais de procédure et indemnités en matière pénale du 28 septembre 2010; RSV 312.03.1]), seront mis à la charge du recourant, qui succombe (art. 428 al. 1 CPP). Enfin, l’intimée, qui obtient entièrement gain de cause en ayant procédé avec l'assistance d'un mandataire professionnel conseil de choix, a droit à une indemnité pour les dépenses occasionnées par l'exercice raisonnable de ses droits dans la présente procédure de recours (art. 433 al. 1 CPP), dès lors qu’elle a chiffré et justifié ses prétentions conformément à l’art. 433 al. 2 CPP. Le montant de cette indemnité sera fixé à 330 fr. 50 pour toutes choses (une heure à 300 fr., plus 6 fr. de débours et un montant de 24 fr. 50 correspondant à la TVA; art. 26a al. 3 TFIP). Cette indemnité sera mise à la charge du recourant. Par ces motifs, le juge unique prononce : I. Le recours est rejeté. II. Le chiffre III du dispositif de l'ordonnance du 4 septembre 2015 est confirmé. III. L’ordonnance est maintenue pour le surplus. IV. Un montant de 330 fr. 50 (trois cent trente francs et cinquante centimes) est alloué à N.________ à titre d’indemnité au sens de</w:t>
      </w:r>
    </w:p>
    <w:p>
      <w:r>
        <w:t>- 8 - l’art. 433 CPP, pour la procédure de recours, à la charge de H.________. V. Les frais d'arrêt, par 630 fr. (six cent trente francs), sont mis à la charge du recourant. VI. Le présent arrêt est exécutoire. Le juge unique : Le greffier : Du Le présent arrêt, dont la rédaction a été approuvée à huis clos, est notifié, par l'envoi d'une copie complète, à : - Me Jérôme Magnin, avocat (pour N.________), - M. H.________, - Ministère public central,</w:t>
      </w:r>
    </w:p>
    <w:p>
      <w:r>
        <w:t>- 9 -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