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PE14.025397 vom 6. Januar 2016</w:t>
      </w:r>
    </w:p>
    <w:p>
      <w:r>
        <w:t>VD Tribunal cantonal, 2016-01-06, FR</w:t>
      </w:r>
    </w:p>
    <w:p>
      <w:r>
        <w:rPr>
          <w:b/>
        </w:rPr>
        <w:t xml:space="preserve">Quelle: </w:t>
      </w:r>
      <w:r>
        <w:t>https://mcp.opencaselaw.ch/entscheid/vd_gerichte_PE14.025397</w:t>
      </w:r>
    </w:p>
    <w:p>
      <w:r>
        <w:t>FR: VD_GERICHTE PE14.025397 du 6 janvier 2016</w:t>
      </w:r>
    </w:p>
    <w:p>
      <w:r>
        <w:t>IT: VD_GERICHTE PE14.025397 del 6 gennaio 2016</w:t>
      </w:r>
    </w:p>
    <w:p>
      <w:pPr>
        <w:pStyle w:val="Heading2"/>
      </w:pPr>
      <w:r>
        <w:t>Erwägungen</w:t>
      </w:r>
    </w:p>
    <w:p>
      <w:r>
        <w:rPr>
          <w:b/>
        </w:rPr>
        <w:t>E. 5.1</w:t>
      </w:r>
    </w:p>
    <w:p>
      <w:r>
        <w:t>A l’audience d’appel, le prévenu a admis avoir participé aux cambriolages décrits sous chiffres 2.1 à 2.4 de l’état de fait, tous perpétrés dans le canton de Neuchâtel. Seuls demeurent donc contestés les cambriolages relatés sous chiffres 2.9 à 2.11 et 2.14. L’appelant fait valoir qu’il n’y a pas suffisamment de preuves pour le relier à ces cas. Son téléphone ayant activé des bornes à proximité, il admet avoir été aux</w:t>
      </w:r>
    </w:p>
    <w:p>
      <w:r>
        <w:t>- 16 - abords des lieux des infractions, mais soutient que c’était pour d’autres motifs que de se livrer à des cambriolages.</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w:t>
      </w:r>
    </w:p>
    <w:p>
      <w:r>
        <w:t>- 17 - pas, car de tels doutes sont toujours possibles et une certitude absolue ne peut être exigée. Bien plutôt, il doit s’agir de doutes importants et irréductibles, qui s’imposent au vu de la situation objective (ATF 127 I 38 consid. 2a). II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ATF 136 III 552 consid. 4.2).</w:t>
      </w:r>
    </w:p>
    <w:p>
      <w:r>
        <w:rPr>
          <w:b/>
        </w:rPr>
        <w:t>E. 5.3</w:t>
      </w:r>
    </w:p>
    <w:p>
      <w:r>
        <w:t>Le cambriolage relaté sous chiffre 2.9, perpétré à Romanel- sur-Lausanne, est imputé au prévenu et à H.________. Le téléphone mobile de celui-là a été localisé à proximité entre 20 h 38 et 20 h 54. Durant ce laps de temps, cet appareil a été en contact avec celui de son comparse à onze reprises. L’appelant ne fournit aucune explication à ce sujet (PV aud.</w:t>
      </w:r>
    </w:p>
    <w:p>
      <w:r>
        <w:rPr>
          <w:b/>
        </w:rPr>
        <w:t>E. 7</w:t>
      </w:r>
    </w:p>
    <w:p>
      <w:r>
        <w:t>L’appelant conteste s’être rendu coupable de recel. Il fait valoir que l’origine délictueuse des chèques Reka n’est pas établie mais ne fait l’objet que de soupçons. Ces chèques lui auraient été offerts par un ami, tant il serait vrai qu’il ne fréquenterait pas que des délinquants.</w:t>
      </w:r>
    </w:p>
    <w:p>
      <w:r>
        <w:rPr>
          <w:b/>
        </w:rPr>
        <w:t>E. 7.1</w:t>
      </w:r>
    </w:p>
    <w:p>
      <w:r>
        <w:t>L’art. 160 ch. 1 CP prévoit que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cette disposition, à savoir l’acquisition, dont la réception en don ou en gage ne sont que des variantes, la dissimulation et l’aide à la négociation d’une chose dont l’auteur sait ou doit présumer qu’un tiers l’a obtenue au moyen d’une infraction contre la patrimoine (ATF 128 IV 23 consid. 3c). Cette dernière notion s’entend de manière large. Elle ne se limite pas aux seules infractions figurant au titre 2 de la partie spéciale du Code pénal, mais s’étend à toutes celles dirigées contre le patrimoine d’autrui (cf. ATF 127 IV 79 consid. 2b; TF 6B_728/2010 du 1er mars 2011 consid. 2.2). Le point de savoir si l’auteur du délit préalable a été poursuivi ou puni est sans pertinence. Il suffit que l’acte initial réalise les conditions objectives d’un comportement pénalement répréhensible (ATF 101 IV 402 consid. 2). Comme en matière de blanchiment (cf. art. 305 bis CP), la preuve stricte de l’acte préalable n’est pas exigée. Il suffit que la valeur patrimoniale soit issue avec certitude d’un délit contre le patrimoine. Le recel peut se concevoir même lorsque l’auteur de l’acte préalable est inconnu, si la preuve peut être rapportée que le possesseur actuel d’une</w:t>
      </w:r>
    </w:p>
    <w:p>
      <w:r>
        <w:t>- 21 - chose ne peut l’avoir acquise que d’un voleur inconnu (ATF 120 IV 323 consid. 3d; TF 6B_141/2007 du 24 septembre 2007 consid. 3.3.3).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(ATF 129 IV 230 consid. 5.3.2). Une connaissance précise de l’infraction préalable, des circonstances entourant sa commission ou de l’auteur de cette dernière n’est pas nécessaire (ATF 119 IV 242 consid. 2b; ATF 101 IV 402 consid. 2b). Il y a dol éventuel lorsque l'auteur envisage le résultat dommageable, mais agit néanmoins, parce qu'il s'en accommode pour le cas où il se produirait, même s'il ne le souhaite pas (ATF 135 IV 152 consid. 2.3.2; ATF 133 IV 9 consid. 4.1; ATF 131 IV 1 consid. 2.2 et les arrêts cités). Il y a en revanche négligence lorsque l'auteur, par une imprévoyance coupable, c'est-à-dire pour n'avoir pas usé des précautions commandées par les circonstances et par sa situation personnelle, a agi sans se rendre compte ou sans tenir compte des conséquences de son acte (cf. art. 12 al. 3 CP).</w:t>
      </w:r>
    </w:p>
    <w:p>
      <w:r>
        <w:rPr>
          <w:b/>
        </w:rPr>
        <w:t>E. 7.2</w:t>
      </w:r>
    </w:p>
    <w:p>
      <w:r>
        <w:t>Lorsque le prévenu a été arrêté le 12 juin 2015 à Troinex par les gardes-frontière, il était passager d’un véhicule conduit par et appartenant à un nommé [...], né en 1977, ressortissant algérien (rapport de l’administration fédérale des douanes sous P. 51). Dans le véhicule se trouvait un sac contenant les chèques litigieux (58 chèques de 10 fr.). Le rapport relève initialement qu’ils appartiendraient au propriétaire de la voiture (P. 51, préambule, p. 6, non numérotée; cf. aussi le document de la police genevoise intitulé Exécution d’un mandat par arrestation, sous P. 51 également, p. 2), pour préciser ensuite qu’ils étaient en possession du prévenu (P. 51, document 20, p. 5, non numérotée). Répondant aux policiers genevois, [...] a indiqué qu’ils étaient au prévenu et au troisième occupant de la voiture, un certain [...] (P. 51, document 4, p. 3, non numérotée). Pour sa part, le prévenu a déclaré qu’ils étaient à lui; il a affirmé les avoir reçus à Cornavin d’un certain [...] (P. 51, document 5, p. 3). Il n’a pas fourni d’explication sur les motifs de cette prétendue</w:t>
      </w:r>
    </w:p>
    <w:p>
      <w:r>
        <w:t>- 22 - donation. Durant l’enquête il a ensuite affirmé que c’était son ami dans la voiture qui les lui avait donnés, lui-même les ayant reçus à la gare de Genève de la part d’une tierce personne, prénommée [...]. Il ressort de cette déposition que le prévenu s’est contredit en mélangeant les réponses, ce que lui a du reste fait remarquer le procureur (PV aud. 8 p. 3). Aux débats il a déclaré que c’était le prétendu dénommé « [...] » qui lui avait donné les chèques (jugement, p.10). Le prévenu a ainsi fourni des versions différentes au sujet du propriétaire et de l’origine de ces chèques. Ces mensonges signifient forcément que le prévenu lui-même pense que ces papiers-valeur ont une origine illicite. Les chèques Reka, émis par la Caisse suisse de voyage, peuvent être achetés auprès des grands employeurs de Suisse, comme la Poste, et de grandes surfaces, comme la Coop. Ils servent à payer notamment des titres de transport. Leur intérêt est de fournir des rabais. Ils portent un numéro de sécurité. Evidemment, il est douteux que le propriétaire légitime de chèques en note les numéros de sécurité pour pouvoir les communiquer à la police au cas où on les lui déroberait. Il est donc en général difficile d’établir si un chèque qui circule a été volé. Cela dit, il paraît totalement invraisemblable que les étrangers sans domicile fixe en Suisse fréquentés par le prévenu (qui affirme lui-même ne connaître aucune personne établie en Suisse [cf. P. 51, document 5, p. 5] et qui précise que des amis lui avaient « dit de venir voler avec eux » [jugement, p. 9]) achètent en une fois un grand nombre de ces chèques, pour ensuite les offrir en bloc. On a aussi de la peine à concevoir qu’une personne installée en Suisse qui aurait par hypothèse acquis légalement ces chèques les offre ensuite en telle quantité à une personne de passage, qui n’en aurait qu’une utilité réduite et qui semble avoir surtout besoin d’argent liquide. Il s’ensuit que l’origine illicite est la seule thèse raisonnable qui peut être retenue. D’ailleurs, l’appelant ne va pas jusqu’au bout de son raisonnement, puisqu’il ne demande pas la restitution de ces chèques confisqués en vertu du chiffre VIII du dispositif du jugement entrepris.</w:t>
      </w:r>
    </w:p>
    <w:p>
      <w:r>
        <w:t>- 23 -</w:t>
      </w:r>
    </w:p>
    <w:p>
      <w:r>
        <w:rPr>
          <w:b/>
        </w:rPr>
        <w:t>E. 8</w:t>
      </w:r>
    </w:p>
    <w:p>
      <w:r>
        <w:t>L’appelant conteste enfin la quotité de la peine. Il reproche aux premiers juges de ne pas avoir tenu compte de ses excuses et aveux concernant sept cambriolages, auxquels s’ajoutent désormais les aveux portant sur les quatre cambriolages commis sur territoire neuchâtelois. Il invoque aussi une inégalité de traitement avec le sort judiciaire d’H.________, condamné à 30 mois de privation de liberté malgré ses dénégations, l’absence de manifestation de regrets et des antécédents du même acabit.</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Selon la jurisprudence, il est possible d’invoquer, dans le cadre d’un recours en réforme pour violation de l’art. 47 CP, le fait que la peine infligée consacre une inégalité de traitement (ATF 116 IV 292 consid. 2, JT 1992 IV 104). Toutefois, en raison des nombreux paramètres qui</w:t>
      </w:r>
    </w:p>
    <w:p>
      <w:r>
        <w:t>- 24 - interviennent dans la fixation de la peine, notamment des données personnelles, la comparaison est d’emblée délicate lorsqu'elle porte sur des affaires et des accusés différents (ATF 120 IV 136 consid. 3a; ATF 116 IV 292, précité). Dans l'exercice de son pouvoir d'appréciation, le juge doit respecter, en particulier, le principe d'égalité de traitement (art. 8 al. 1 Cst.; cf., au regard de l'art. 63 aCP, ATF 120 IV 136 consid. 3a p. 144 et les arrêts cités).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(cf. ATF 121 IV 202 consid. 2b p. 244 ss; TF 6S.199/2006 du 11 juillet 2006 consid. 4 in fine; TF 6B_207/2007 du 6 septembre 2007 consid. 4.2.2).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à notre système juridique (Wiprächtiger/Keller, in : Niggli/ Wiprächtiger [éd.], Basler Kommentar, Strafrecht I, Art. 1-110 StGB, 3e éd., Bâle 2013, n. 203 ad art. 47 CP, et les réf. citées).</w:t>
      </w:r>
    </w:p>
    <w:p>
      <w:r>
        <w:t>- 25 - Les comparaisons sont souvent établies avec des peines infligées à des auteurs impliqués dans des cas prétendument semblables. De telles comparaisons n'aboutissent en général pas à une modification de la sanction (Wiprächtiger/Keller, op. cit., n. 212 ad art. 47 CP), pour les raisons évoquées.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référence à un ou deux précédents où des peines clémentes ont été prononcées n’est d’ailleurs pas suffisante pour prétendre à l’égalité de traitement (ATF 114 Ib 238; CCASS, NE, 6 mars 1992, RJN 1992 p. 119). La jurisprudence a affirmé la primauté du principe de la légalité sur celui de l’égalité. Il ne suffit pas que la loi ait été mal appliquée dans un cas pour que l’accusé puisse prétendre à un droit à l’égalité dans l’illégalité (ATF 122 II 446 consid. 4a; ATF 124 IV 44 consid. 2c; TF arrêt 6S.270/2005 du 25 septembre 2005). Néanmoins, l'idée de ne pas créer un écart trop important entre deux co-prévenus qui ont participé ensemble au même complexe de faits délictueux est soutenable (ATF 123 IV 150 consid. 2b). Ainsi, l'exigence d'égalité s'apprécie notamment au regard de ce qui est comparable, notamment les activités et les rôles respectifs des co-prévenus dans la perpétration commune d'infractions.</w:t>
      </w:r>
    </w:p>
    <w:p>
      <w:r>
        <w:rPr>
          <w:b/>
        </w:rPr>
        <w:t>E. 8.2</w:t>
      </w:r>
    </w:p>
    <w:p>
      <w:r>
        <w:t>Le jugement concernant H.________ a été versé au dossier de la cause. Il en ressort que ce comparse, né en 1970, a dix ans de plus que le prévenu, et quatre condamnations de moins à son casier suisse. Dans la présente procédure, il a été condamné pour les mêmes infractions, en relation avec dix cambriolages et trois cas de recel. La peine privative de liberté a été fixée à 30 mois. Pour sa part, le prévenu a une fois et demie autant de cambriolages, puisqu’il a continué à en perpétrer après l’arrestation de H.________, le 4 septembre 2014. Il a un casier judiciaire plus chargé alors</w:t>
      </w:r>
    </w:p>
    <w:p>
      <w:r>
        <w:t>- 26 - même qu’il est sensiblement plus jeune que son comparse. Une peine plus lourde s’imposait donc. Une différence de six mois est parfaitement correcte. Pour le reste, il va de soi que les excuses d’un voleur par métier ont peu de poids. Elles ne semblent pas sincères quand ledit voleur nie encore tout ce qu’il peut nier et montre ainsi qu’il n’en a pas fini avec ce mode de vie pratiqué de longue date, le casier judiciaire de l’auteur étant à cet égard accablant. Les lettres d’excuses de novembre 2015 qui figurent au dossier (P. 71), dactylographiées et standardisées, sont de toute évidence des actes de circonstance signés dans le but tactique bien connu d’obtenir des retraits de plainte et la clémence de la cour. Leur appréciation par les premiers juges est pertinente (jugement, p. 25). Quant à l’aveu de quelques cambriolages, y compris encore à l’audience d’appel, on ne discerne pas en quoi cet élément devrait constituer un élément à décharge quand le prévenu ne reconnaît son implication que confronté aux éléments de preuve qui l’accablent. Il n’y a pas de véritable collaboration à l’enquête, qui portait sur des actes de grande ampleur accomplis en bande (cf. P. 33/1) et qui aurait assurément bénéficié de révélations plus étendues et faites à un stade plus précoce des investigations. Tardifs et de pure circonstance au vu d’éléments à charge, les aveux passés à l’audience d’appel n’ont en particulier pas à influer sur la quotité de la peine. Pour le reste, c’est à juste titre que l’appelant ne remet pas en cause les éléments à charge et à décharge relevés par le Tribunal correctionnel (jugement, p. 25-26). Ces éléments sont en effet conformes à l’art. 47 CP, de sorte qu’il suffit d’y renvoyer. La peine de trois ans, partiellement complémentaire à celle de six mois prononcée le 18 juin 2014 pour quatre cambriolages et séjour illégal, doit être confirmée.</w:t>
      </w:r>
    </w:p>
    <w:p>
      <w:r>
        <w:rPr>
          <w:b/>
        </w:rPr>
        <w:t>E. 9</w:t>
      </w:r>
    </w:p>
    <w:p>
      <w:r>
        <w:t>La détention subie par le prévenu depuis le jugement de première instance est déduite (art. 51 CP). Son maintien en détention pour des motifs de sûreté (art. 220 al. 2 CPP) est ordonné pour parer au risque</w:t>
      </w:r>
    </w:p>
    <w:p>
      <w:r>
        <w:t>- 27 - de fuite (art. 221 al. let. a CPP), l’intéressé, ressortissant étranger en situation illicite, n’ayant à l’évidence pas d’attaches en Suisse.</w:t>
      </w:r>
    </w:p>
    <w:p>
      <w:r>
        <w:rPr>
          <w:b/>
        </w:rPr>
        <w:t>E. 10</w:t>
      </w:r>
    </w:p>
    <w:p>
      <w:r>
        <w:t>Vu l'issue de l’appel, l'émolument d’appel (art. 21 al. 1 et 2 TFIP [Tarif des frais de procédure et indemnités en matière pénale du 28 septembre 2010; RSV 312.03.1]) sera mis à la charge de l’appelant, qui succombe (art. 428 al. 1 CPP). Les frais d’appel comprennent l’indemnité en faveur du défenseur d’office du prévenu (art. 422 al. 1 et al. 2 let. a CPP). Celle-ci doit être arrêtée sur la base d’une durée d’activité de 15 heures d’avocate stagiaire et de 40 minutes pour la maître de stage, en plus de trois vacations d’avocate stagiaire à 80 fr., ainsi que de la TVA, soit à 2'170 fr. 80.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