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PE14.024909 vom 31. Januar 2017</w:t>
      </w:r>
    </w:p>
    <w:p>
      <w:r>
        <w:t>VD Tribunal cantonal, 2017-01-31, FR</w:t>
      </w:r>
    </w:p>
    <w:p>
      <w:r>
        <w:rPr>
          <w:b/>
        </w:rPr>
        <w:t xml:space="preserve">Quelle: </w:t>
      </w:r>
      <w:r>
        <w:t>https://mcp.opencaselaw.ch/entscheid/vd_gerichte_PE14.024909</w:t>
      </w:r>
    </w:p>
    <w:p>
      <w:r>
        <w:t>FR: VD_GERICHTE PE14.024909 du 31 janvier 2017</w:t>
      </w:r>
    </w:p>
    <w:p>
      <w:r>
        <w:t>IT: VD_GERICHTE PE14.024909 del 31 gennaio 2017</w:t>
      </w:r>
    </w:p>
    <w:p>
      <w:pPr>
        <w:pStyle w:val="Heading2"/>
      </w:pPr>
      <w:r>
        <w:t>Erwägungen</w:t>
      </w:r>
    </w:p>
    <w:p>
      <w:r>
        <w:rPr>
          <w:b/>
        </w:rPr>
        <w:t>E. 4</w:t>
      </w:r>
    </w:p>
    <w:p>
      <w:r>
        <w:t>L’appelant reproche aux premiers juges d’avoir retenu que le viol (art. 190 CP) entrait en concours réel avec la contrainte sexuelle (art. 189 CP).</w:t>
      </w:r>
    </w:p>
    <w:p>
      <w:r>
        <w:rPr>
          <w:b/>
        </w:rPr>
        <w:t>E. 4.1</w:t>
      </w:r>
    </w:p>
    <w:p>
      <w:r>
        <w:t>Le viol est une lex specialis pour le cas où la victime est une femme et qu’il lui est imposé l’acte sexuel proprement dit. Les actes d'ordre sexuel commis en étroite liaison avec l’acte sexuel proprement dit, en particulier ceux qui en sont les préliminaires, doivent donc être considérés comme absorbés par le viol. Un concours réel est toutefois envisageable si l’acte sexuel et les autres actes d'ordre sexuel sont indépendants les uns des autres, en particulier lorsqu’ils ont été commis à des moments différents. D’après la jurisprudence, un rapport bucco- génital a toujours un but de satisfaction sexuelle autonome, de sorte que l’on peut retenir le concours réel entres les art. 189 et 190 CP (Dupuis et al. [éd.], Petit commentaire, Code pénal, 2e éd., Bâle 2017, n. 48 ad art. 189 CP), ce qui est le cas en l’espèce, le prévenu ayant dans un premier temps contraint la plaignante à lui prodiguer une fellation avant de la pénétrer contre sa volonté. Le grief est donc infondé. Partant, la condamnation de l’appelant pour contrainte sexuelle et viol, qualifications juridiques qui n’ont pour le surplus pas été remises en cause, doit être confirmée.</w:t>
      </w:r>
    </w:p>
    <w:p>
      <w:r>
        <w:rPr>
          <w:b/>
        </w:rPr>
        <w:t>E. 5.1</w:t>
      </w:r>
    </w:p>
    <w:p>
      <w:r>
        <w:t>L’appelant conteste la peine qui lui a été infligée. Il estime qu’elle ne respecterait pas la condition de l’art. 43 al. 2 CP et que sa situation personnelle n’aurait pas été suffisamment prise en compte, en particulier le fait qu’il subviendrait à l’entretien de sa famille tant en Suisse qu’au Sri Lanka et qu’il serait père de deux enfants en bas âge, dont l’un est né après les faits qui lui sont reprochés.</w:t>
      </w:r>
    </w:p>
    <w:p>
      <w:r>
        <w:rPr>
          <w:b/>
        </w:rPr>
        <w:t>E. 5.2</w:t>
      </w:r>
    </w:p>
    <w:p>
      <w:r>
        <w:t>- 17 -</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5.2.2</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w:t>
      </w:r>
    </w:p>
    <w:p>
      <w:r>
        <w:t>- 18 -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w:t>
      </w:r>
    </w:p>
    <w:p>
      <w:r>
        <w:rPr>
          <w:b/>
        </w:rPr>
        <w:t>E. 5.3</w:t>
      </w:r>
    </w:p>
    <w:p>
      <w:r>
        <w:t>En l’occurrence, procédant à sa propre appréciation, la cour de céans considère que la culpabilité de J.________ est lourde. L’ensemble des éléments pris en considération par les premiers juges (jugement, p. 21) est pertinent. Aux débats de ce jour, le prévenu a présenté des excuses à la plaignante, sans toutefois formellement reconnaître ce qu’il avait commis. Cette faible prise de conscience, la gravité objective des faits et l'importance de sa culpabilité dictent le prononcé d’une peine supérieure à ce qui est compatible avec l’octroi d’un sursis complet. La peine de 30 mois prononcée par les premiers juges s’avère adéquate. Celle-ci tient en particulier correctement compte de la situation personnelle de l’appelant. A cet égard, on relèvera que ses attaches familiales ne l'ont pas empêché de commettre un crime grave. Le fait qu'il ait conçu un second enfant, alors qu'il se savait faire l'objet d'une procédure pénale, n'est en outre pas de nature à justifier une atténuation de la peine.</w:t>
      </w:r>
    </w:p>
    <w:p>
      <w:r>
        <w:t>- 19 - Il y a lieu de présager que l'exécution d'une partie de cette peine privative de liberté, associée à la révocation du sursis qui lui a été accordé le 6 juin 2013 selon les considérations qui suivent (consid. 6.2), sera suffisante pour détourner J.________ de la commission de nouvelles infractions, de sorte que le principe du sursis partiel doit être confirmé. La peine prononcée par les premiers juges est toutefois contraire au principe posé par l'art. 43 al. 2 CP, dans la mesure où la partie de la peine à exécuter serait supérieure à la moitié de la peine. En définitive, compte tenu des éléments qui précèdent et de la situation familiale de l’appelant en particulier, il convient de suspendre une partie de la peine privative de liberté portant sur 20 mois et de fixer le délai d'épreuve à 3 ans. La partie de la peine à exécuter, soit 10 mois, demeure compatible avec l’octroi du régime de la semi-détention prévu à l’art. 77b CP.</w:t>
      </w:r>
    </w:p>
    <w:p>
      <w:r>
        <w:rPr>
          <w:b/>
        </w:rPr>
        <w:t>E. 6</w:t>
      </w:r>
    </w:p>
    <w:p>
      <w:r>
        <w:t>L’appelant conteste la révocation du sursis qui lui a été octroyé le 6 juin 2013.</w:t>
      </w:r>
    </w:p>
    <w:p>
      <w:r>
        <w:rPr>
          <w:b/>
        </w:rPr>
        <w:t>E. 6.1</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w:t>
      </w:r>
    </w:p>
    <w:p>
      <w:r>
        <w:t>- 20 -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1er mai 2014 consid. 2.2 et les références citées).</w:t>
      </w:r>
    </w:p>
    <w:p>
      <w:r>
        <w:rPr>
          <w:b/>
        </w:rPr>
        <w:t>E. 6.2</w:t>
      </w:r>
    </w:p>
    <w:p>
      <w:r>
        <w:t>En l’occurrence, les infractions commises par le prévenu sont graves. Elles ont été commises durant le délai d’épreuve de 2 ans qui assortissait la condamnation à 83 jours-amende à 30 fr. le jour prononcée le 6 juin 2013 par le Ministère public du Nord vaudois pour conduite en état d’ivresse qualifiée. Dans le cadre de la présente affaire, le prévenu a en outre conduit alors qu’il avait consommé de la vodka avec la plaignante dans une quantité indéterminée certes, mais significative selon les déclarations de D.________ dont il n’y pas lieu de s’écarter (« je me souviens que J.________ voulait qu’on finisse la bouteille car il disait qu’on allait pas laisser un fond. […] je lui servais des gros verres » PV d'audition n. 4, l. 67 à 76). Manifestement, sa précédente peine n’a eu aucun effet dissuasif. Dans ces circonstances, le prévenu ayant trompé la confiance</w:t>
      </w:r>
    </w:p>
    <w:p>
      <w:r>
        <w:t>- 21 - qui avait été placée en lui, la révocation du sursis accordé le 6 juin 2013 doit être confirmée.</w:t>
      </w:r>
    </w:p>
    <w:p>
      <w:r>
        <w:rPr>
          <w:b/>
        </w:rPr>
        <w:t>E. 7</w:t>
      </w:r>
    </w:p>
    <w:p>
      <w:r>
        <w:t>Outre les frais mis à sa charge, l’appelant conteste l’allocation d’une indemnité pour tort moral à D.________. Dans la mesure où ces conclusions reposent sur la prémisse de l’admission de son appel, elles doivent être rejetées. Pour le surplus, l’octroi d’un montant de 10'000 fr. à titre d’indemnité pour tort moral apparaît justifié tant dans son principe que dans sa quotité, compte tenu en particulier de la jeunesse de la plaignante, de la grave atteinte à son intégrité sexuelle, des souffrances psychiques que celle-ci a engendrées et de ses répercussions importantes sur sa scolarité.</w:t>
      </w:r>
    </w:p>
    <w:p>
      <w:r>
        <w:rPr>
          <w:b/>
        </w:rPr>
        <w:t>E. 8</w:t>
      </w:r>
    </w:p>
    <w:p>
      <w:r>
        <w:t>En définitive, l'appel de J.________ doit être partiellement admis et le jugement rendu le 31 janvier 2017 réformé dans le sens du considérant 5.3 qui précède. La liste des opérations produite par Me Olivier Buttet fait état de 18 heures et 18 minutes d'activité au tarif horaire de 180 fr., ainsi que de 20 fr. de débours, audience de ce jour en sus. La défense des intérêts de l’appelant dans le cadre de la présente procédure ne justifie toutefois pas une telle durée. En particulier, le temps consacré aux correspondances et entretiens téléphoniques avec le prévenu, ajouté à la longue séance qu’ils ont eue le 13 juin 2017 (2.4 heures) apparaît excessif, eu égard notamment à la connaissance exhaustive du dossier acquise par l'avocat lors de la procédure de première instance. Il convient de retenir une activité raisonnable de 14 heures (soit 1h30 de conférence avec le client, 6 heures pour la rédaction de l'appel, 2 heures pour les divers téléphones et le traitement de la correspondance, 2h30 pour la préparation de l’audience d’appel, 1 heure pour l’audience d’appel et 1 heure pour les diverses opérations nécessaires après dite audience) au tarif horaire de 180 fr., soit 2’520 fr., plus les débours, par 140 fr., et la TVA, par 212 fr. 80, ce qui représente une indemnité d'un montant total de 2'872 fr. 80 en faveur de Me Olivier Buttet.</w:t>
      </w:r>
    </w:p>
    <w:p>
      <w:r>
        <w:t>- 22 - Sur la base de la liste des opérations qu’il a produite et dont il n’y a pas lieu de s’écarter, une indemnité d'un montant de 1'151 fr. 30, TVA et débours inclus, sera allouée à Me Marcel Paris. Vu l'issue de la cause, les frais de la procédure d'appel, par 6'264 fr. 10, constitués en l’espèce de l'émolument du présent arrêt, par 2'240 fr. (art. 21 al. 1 et 2 TFIP [Tarif des frais de procédure et indemnités en matière pénale du 28 septembre 2010 ; RSV 312.03.1]), et des indemnités allouées au défenseur et au conseil d'office précitées, seront mis par moitié à la charge de J.________, le solde étant laissé à la charge de l’Etat. J.________ ne sera tenu de rembourser à l’Etat la moitié des indemnités allouées au défenseur et au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