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PE14.023383 vom 9. Mai 2017</w:t>
      </w:r>
    </w:p>
    <w:p>
      <w:r>
        <w:t>VD Tribunal cantonal, 2017-05-09, FR</w:t>
      </w:r>
    </w:p>
    <w:p>
      <w:r>
        <w:rPr>
          <w:b/>
        </w:rPr>
        <w:t xml:space="preserve">Quelle: </w:t>
      </w:r>
      <w:r>
        <w:t>https://mcp.opencaselaw.ch/entscheid/vd_gerichte_PE14.023383</w:t>
      </w:r>
    </w:p>
    <w:p>
      <w:r>
        <w:t>FR: VD_GERICHTE PE14.023383 du 9 mai 2017</w:t>
      </w:r>
    </w:p>
    <w:p>
      <w:r>
        <w:t>IT: VD_GERICHTE PE14.023383 del 9 maggio 2017</w:t>
      </w:r>
    </w:p>
    <w:p>
      <w:pPr>
        <w:pStyle w:val="Heading2"/>
      </w:pPr>
      <w:r>
        <w:t>Erwägungen</w:t>
      </w:r>
    </w:p>
    <w:p>
      <w:r>
        <w:rPr>
          <w:b/>
        </w:rPr>
        <w:t>E. 21</w:t>
      </w:r>
    </w:p>
    <w:p>
      <w:r>
        <w:t>décembre 1937 ; RS 311.0) (cas 10), faisant valoir que les conditions d’application de cette disposition ne sont pas réalisées dès lors qu’il n’a fait que manifester son désaccord.</w:t>
      </w:r>
    </w:p>
    <w:p>
      <w:r>
        <w:t>- 31 - 4.3.5.2 En vertu de l’art. 286 CP, celui qui aura empêché une autorité, un membre d'une autorité ou un fonctionnaire d'accomplir un acte entrant dans ses fonctions sera puni d'une peine pécuniaire de 30 jours-amende au plus. La norme définit une infraction de résultat. Il n'est pas nécessaire que l'auteur parvienne à empêcher effectivement l'accomplissement de l'acte officiel. Il suffit qu'il le rende plus difficile, l'entrave ou le diffère (ATF 133 IV 97 consid. 4.2 et réf. cit.). Par acte de l'autorité, on entend une activité d'une autorité, d'un membre d'une autorité ou d'un fonctionnaire entrant dans le cadre de sa compétence officielle (ATF 103 IV 186 consid. 2).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et les réf. cit.). Le seul fait d'exprimer son désaccord à l'endroit d'un acte entrepris par un fonctionnaire, mais sans l'entraver, ne suffit pas (ATF 105 IV 48 consid. 3). Le comportement incriminé à l'art. 286 CP suppose une résistance qui implique une certaine activité (ATF 133 IV 97 consid. 4.2 et les réf. cit.), qui est réalisée, par exemple, par le fait de prendre la fuite (ATF 120 IV 136 consid. 2a et les réf. cit.).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3e éd., 2010, n. 13 ad art. 286 CP). 4.3.5.3 Aux débats, M.________ a admis les faits, tout en reconnaissant que l’intervention avait été musclée et qu’il était excité (Jugement p. 5). L’intervention des patrouilleurs, appelés par le biais de la centrale, entrait à l’évidence dans le cadre de leur mission officielle, ce qui n’est pas contesté. L’appelant a adopté un comportement provocateur et injurieux envers les trois patrouilleurs initialement présents, avant de refuser</w:t>
      </w:r>
    </w:p>
    <w:p>
      <w:r>
        <w:t>- 32 - d’obtempérer à leurs demandes – s’asseoir et se calmer –, contraignant les policiers à le menotter, puis à l’amener au sol. M.________ a continué à gesticuler et à s’opposer à son accompagnement, ce qui a nécessité l’intervention d’une patrouille supplémentaire pour le conduire jusqu’au véhicule de service. L’appelant n’en est pas resté là puisqu’il n’a pas chan- gé de comportement et est demeuré dans l’opposition lorsqu’il s’est retrouvé dans les locaux de la police, sa fouille complète ayant dû être faite sous contrainte et au sol, au vu de son comportement. L’appelant a également refusé de se soumettre à un éthylotest (P. 24/1). Un tel comportement constitue manifestement un acte d’entrave au sens de l’art. 286 CP. Partant, compte tenu de l’ensemble de ces éléments, la condamnation d’M.________ pour l’infraction d’empêchement d’accomplir un acte officiel doit être confirmée. 5. 5.1 L’appelant conteste la peine privative de liberté qui lui a été infligée, faisant valoir que sa culpabilité n’est pas aussi lourde que celle retenue par la première juge. Il requiert qu’il soit uniquement condamné à une peine pécuniaire inférieure à 10 jours-amende avec sursis pendant 2 ans, que l’amende soit réduite à 100 fr. et que le sursis qui lui avait été accordé le 9 décembre 2015 ne soit pas révoqué. 5.2 5.2.1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w:t>
      </w:r>
    </w:p>
    <w:p>
      <w:r>
        <w:t>- 33 - comportement après l'acte et au cours de la procédure pénale (ATF 141 IV 61 consid. 6.1.1 p. 66 ss; ATF 134 IV 17 consid. 2.1 p. 19 ss).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Dans la conception de la partie générale du code pénal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ss; TF 6B_709/2013 du 27 janvier 2014 consid. 2). 5.2.2 Selon l'art. 40 aCP, dans sa teneur au 31 décembre 2017, la durée de la peine privative de liberté est en règle générale de six mois au moins et de 20 ans au plus. Lorsque la loi le prévoit expressément, la peine privative de liberté est prononcée à vie. Aux termes de l'art. 41 al. 1 aCP, le juge peut prononcer une peine privative de liberté ferme de moins de six mois uniquement si les</w:t>
      </w:r>
    </w:p>
    <w:p>
      <w:r>
        <w:t>- 34 - conditions du sursis à l'exécution de la peine (art. 42 CP) ne sont pas réunies et s'il y a lieu d'admettre que ni une peine pécuniaire, ni un travail d'intérêt général ne peuvent être exécutés. Interprétant l’art. 41 aCP, la Cour de céans et le Tribunal fédéral ont précisé que lorsque des motifs de prévention spéciale permettent de considérer qu'une peine pécuniaire ou une nouvelle peine de travail d'intérêt général seraient d'emblée inadaptées, l'autorité peut prononcer une peine privative de liberté de courte durée (TF 6B_889/2015 du 30 mai 2016 consid. 4.3 ; CAPE 19 mai 2016/163). Les art. 40 et 41 aCP ont été modifiés avec effet au 1er janvier 2018 (RO [Recueil officiel] 2016 1249). Selon le nouveau droit, la durée minimale de la peine privative de liberté est en principe de trois jours (art. 40 al. 1 CP). Par ailleurs,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 En l’espèce, la nature de la peine se détermine au regard des art. 40 et 41 aCP, qui demeurent applicables, les nouvelles dispositions n'étant pas plus favorables (cf. art. 2 al. 2 CP). 5.2.3 L’art. 34 CP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w:t>
      </w:r>
    </w:p>
    <w:p>
      <w:r>
        <w:t>- 35 -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5.2.4 Sauf disposition contraire de la loi, le montant maximum de l’amende est de 10'000 fr. (art. 106 al. 1 CP). Selon l'art. 106 al. 3 CP, le juge fixe l'amende ainsi que la peine privative de liberté de substitution en tenant compte de la situation de l'auteur afin que la peine corresponde à la faute commise. Selon la jurisprudence relative à l’art. 48 al. 2 aCP, applicable à l’art.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alii, Petit commentaire, Code pénal, 2e éd., Bâle 2017, n. 7 ad art. 106 CP). 5.2.5 Selon l'art. 49 al. 1 CP, si, en raison d'un ou de plusieurs actes, l'auteur encourt plusieurs peines privatives de liberté, le juge le condamne</w:t>
      </w:r>
    </w:p>
    <w:p>
      <w:r>
        <w:t>- 36 - à la peine de l'infraction la plus grave et en augmente la durée d'après les circonstances. Il ne peut cependant excéder de plus de la moitié le maximum prévu pour cette infraction. Il est en outre lié par le maximum légal du genre de la peine.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142 IV 265 consid. 2.3.1-2.3.2 p. 267 ss ; ATF 137 IV 57 consid. 4.3.1 p. 58).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p. 331 ; ATF 142 IV 265 consid. 2.3.3 p. 268).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p. 268 ; ATF 141 IV 61 consid. 6.1.2 p. 67). En présence d'un concours rétrospectif, le juge doit exceptionnellement exposer au moyen de chiffres comment il a fixé la peine qu'il prononce (ATF 142 IV 265 consid. 2.3.3 p. 268 ; ATF 132 IV 102 consid. 8.3). 5.2.6 Les principes qui président à la fixation de la peine en cas de diminution de la responsabilité (art. 19 al. 2 CP) ont été arrêtés dans l'arrêt publié aux ATF 136 IV 55: une diminution de la responsabilité au sens de cette disposition conduit à une diminution de la faute et non de la peine. La réduction de celle-ci n'est que la conséquence de la faute plus légère (consid. 5.5 pp. 59 ss). Le juge dispose d'un large pouvoir</w:t>
      </w:r>
    </w:p>
    <w:p>
      <w:r>
        <w:t>- 37 - d'appréciation lorsqu'il détermine l'effet de la diminution de la responsabilité sur la faute (subjective) au vu de l'ensemble des circonstances. Il peut appliquer l'échelle habituelle: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(consid. 5.6 p. 60 ss). En bref,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(consid. 5.7 p. 62 ss; ATF 136 IV 55 ; TF 6B_292/2017 du 14 novembre 2017 consid. 3.5 ; TF 6B_975/2015 consid. 6.1). 5.2.7 Selon l'art. 42 al. 1 CP, dans sa teneur au 31 décembre 2017, le juge suspend en règle générale l'exécution d'une peine pécuniaire, d'un</w:t>
      </w:r>
    </w:p>
    <w:p>
      <w:r>
        <w:t>- 38 -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t>- 39 -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6 mois et un an au plus: le sursis reste la règle, et le sursis partiel l'exception (Cuendet/Genton, La fixation de la peine et le sursis à l'aune du nouveau droit des sanctions, in: Forumpoenale 5/2017 pp. 327-3288; CAPE 8 février 2018/32 consid. 5.2.1 in fine). 5.2.8 Aux termes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Le juge doit en particulier prendre en considération l'effet dissuasif que la nouvelle peine peut exercer, si elle est exécutée (ATF 134 IV 140 consid. 4.4 et 4.5). Il peut parvenir à la conclusion que l'exécution, le cas échéant, de la nouvelle</w:t>
      </w:r>
    </w:p>
    <w:p>
      <w:r>
        <w:t>- 40 -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5.3 5.3.1 En l’espèce, l’appelant est libéré du chef de prévention d’abus de confiance par la Cour de céans, mais sa condamnation pour lésions corporelles simples qualifiées, vol, vol d’importance mineure, dommages la propriété, injure, violation de domicile, empêchement d’accomplir un acte officiel, violation simple des règles de la circulation routière, conduite en état d’ébriété qualifiée, conduite d’un véhicule défectueux, vol d’usage, conduite d’un véhicule automobile malgré le refus, le retrait ou l’interdiction de l’usage du permis, circulation sans assurance responsa- bilité civile, usage abusif de permis et/ou de plaques de contrôle, infraction à l’ordonnance sur les règles la circulation routière, contravention à la loi fédérale sur les stupéfiants et contravention à la loi vaudoise sur les contraventions est confirmée. La culpabilité de l’appelant apparaît dès lors légèrement moins lourde que celle retenue par la première juge, la peine privative de liberté ne devant plus sanctionner l’infraction de l’art. 138 ch. 1 al. 1 CP. Cela étant, l’appelant s’en est en particulier pris à l’intégrité physique de son épouse d’une manière incroyablement violente et lâche, puisqu’il n’a pas hésité à lui donner des coups de pied, à la projeter au sol, puis à la frapper au visage avec son pied alors qu’elle était à terre. Il lui a ainsi causé de nombreux hématomes et de sérieuses blessures, soit une fracture parasymphysaire gauche de la mandibule qui a nécessité une intervention chirurgicale et un arrêt de travail à 100 % durant près de deux semaines. La vitalité des dents de la plaignante autour de la facture doit à ce jour encore être surveillée et une nouvelle intervention en vue de l’ablation du matériel d’ostéosynthèse n’est pas exclue. L’acte de l’appelant est d’autant plus odieux qu’il a eu lieu en présence de la fille</w:t>
      </w:r>
    </w:p>
    <w:p>
      <w:r>
        <w:t>- 41 - cadette des parties qui n’était alors âgée que de 9 ans. A cela s’ajoute le fait que l’appelant a encore cherché à atteindre son épouse en s’en prenant au patrimoine de la société dont elle était l’administratrice. Il n’a pas hésité non plus à s’en prendre à plusieurs reprises à des représentants des forces de l’ordre tout en multipliant les infractions en matière de circulation routière. La nouvelle compagne de l’appelant n’a pas été épargnée par son comportement violent. Ces nombreuses infractions ont été commises dans un laps de temps relativement long, soit entre août 2014 et décembre 2015. Elles révèlent le mépris manifeste de l’appelant pour l’ordre juridique de manière générale et pour son entourage en particulier. A charge, on retiendra encore que l’appelant a été déjà été condamné à cinq reprises pour des infractions à la loi sur la circulation routière, à la loi sur le séjour l’établissement des étrangers, à la loi sur les stupéfiants, ainsi que pour tentative de contrainte. Le fichier ADMAS de l’appelant fait état de pas moins de dix mesures administratives prononcées à son encontre entre le mois de janvier 2002 et le 4 janvier 2016, ce dont la première juge ne paraît pas avoir tenu compte. Il est en outre manifeste que l’appelant n’a clairement pas pris conscience du caractère illicite et de la gravité de ses actes. Il cherche en effet à minimiser sa culpabilité et à rejeter la responsabilité de ses comportements sur les autres. Cette attitude s’est encore confirmée devant les experts qui ont relevé que l’appelant tendait à banaliser les actes qui lui étaient reprochés par le tribunal ou à remettre la faute sur autrui (P. 77, p. 4) et qu’il pouvait par ailleurs facilement utiliser un langage inapproprié et insultant à l’égard de son ex-femme notamment (P. 77, p. 7). A décharge, il pourra uniquement être tenu compte, qui plus est dans une très faible mesure seulement, du fait que l’appelant a admis du bout des lèvres certains cas de l’acte d’accusation. La situation difficile du prévenu a quant à elle conduit les experts à admettre l’existence d’une légère diminution de responsabilité, de sorte qu’il n’y a pas lieu d’en tenir compte une nouvelle fois dans ce cadre.</w:t>
      </w:r>
    </w:p>
    <w:p>
      <w:r>
        <w:t>- 42 - Tout bien considéré, la culpabilité de l’appelant n’est en soi pas seulement lourde, comme l’a retenu la première juge, mais très lourde. Elle ne sera toutefois qualifiée que de lourde compte tenu de la légère diminution de responsabilité attestée par les experts. Au vu du concours d’infractions, du passé judiciaire de l’appelant, de sa lourde culpabilité et de sa propension à commettre des infractions, une peine privative de liberté s’impose pour sanctionner les délits commis, sous réserve de l’injure et des contraventions. Compte tenu des éléments à charge et à décharge, et de la libération de l’appelant du chef de prévention d’abus de confiance, laquelle n’a toutefois qu’une incidence très limitée sur la baisse de la peine en raison des autres concours d’infractions, la peine privative de liberté prononcée par la première juge doit être réduite à 8 mois, peine apparaissant adéquate pour réprimer l’ensemble des infractions commises. S’agissant de l’infraction d’injure, seule une peine pécuniaire entre en considération (art. 177 CP). Les faits retenus au cas 6 sont antérieurs au jugement du 9 décembre 2015 par lequel le Tribunal de police de l’arrondissement de Lausanne a condamné l’appelant à 20 jours- amende à 10 fr. le jour avec sursis durant 3 ans et à 100 fr. d’amende pour tentative de contrainte et contravention à la loi fédérale sur les stupéfiants. La peine de 20 jours-amende réprime une infraction plus grave que l’injure, soit une tentative de contrainte. On peut considérer qu’elle aurait été augmentée de 10 jours-amende si l’injure retenue au cas 6 avait été jugée en même temps. Les faits du cas 10, postérieurs au jugement du 9 décembre 2015, doivent quant à eux être sanctionnés par le présent jugement. Il s’ensuit que la peine pécuniaire de 20 jours- amende à 10 fr. le jour prononcée pour sanctionner les injures retenues aux cas 6 et 10, peine partiellement complémentaire à celle prononcée par le Tribunal de police de l’arrondissement de Lausanne le 9 décembre 2015, est parfaitement justifiée et doit être confirmée. Une amende doit encore être prononcée pour sanctionner le vol d’importance mineure, les contraventions à la loi sur la circulation routière ainsi que celle à la loi vaudoise sur les contraventions. Au vu de la</w:t>
      </w:r>
    </w:p>
    <w:p>
      <w:r>
        <w:t>- 43 - situation financière du prévenu, qui réalise un salaire mensuel net de 1'800 fr., la Cour de céans considère que l’amende de 1'000 fr. prononcée par la première juge est adéquate pour sanctionner les agissements du prévenu. Elle doit être assortie d’une peine privative de liberté de substitution de 10 jours, correspondant au taux de conversion « standard » de l’amende de 100 fr. pour un jour de privation de liberté (Dupuis et alii, op. cit., n. 9 ad art. 106 CP). 5.3.2 Quant à l’octroi du sursis, il faut admettre, à l’instar de la première juge, que le prévenu ne remplit pas les conditions posées à l’art. 42 al. 2 CP, celui-ci ne pouvant en effet pas se prévaloir de circonstances particulièrement favorables. En effet, les cinq condamnations antérieures du prévenu et la révocation d’un sursis précédemment octroyé ne l’ont pas dissuadé de poursuivre ses agissements délictueux, et il a même commis de nouvelles infractions alors qu’une enquête pénale était ouverte contre lui. Le prévenu a eu de manière répétée une attitude vindicative et injurieuse à l’égard d’agents de police et a commis des infractions routières à répétition. Le prévenu n’a donc visiblement pas pris conscience de la gravité de ses actes et de leur caractère illicite. Le risque de récidive est d’ailleurs attesté par les experts. Si ce risque pourrait certes être pondéré par une prise en charge spécifique du type de celle actuellement en cours auprès du Dr E.________, les experts ont observé que le prévenu manquait régulièrement les rendez-vous fixés (P. 77 p. 5). Pour ce motif, un sursis assorti d’une règle de conduite consistant à ce que le prévenu se rende régulièrement aux consultations de ce médecin ne peut être envisagé. La sanction demeurera donc ferme ce qui, selon les experts, n’est pas incompatible avec la poursuite d’un traitement médical selon un mode volontaire (P. 77 p. 11). Le sursis doit donc être refusé à M.________. 5.3.3 En l’occurrence, l’appelant a récidivé durant le délai d’épreuve de 3 ans qui lui avait été octroyé le 9 décembre 2015 par le Tribunal de police de l’arrondissement de Lausanne en commettant de nombreuses infractions. Vu l’absence totale de prise de conscience de l’appelant, qui persiste dans son comportement délictueux, le pronostic quant à son comportement futur apparaît clairement défavorable, l’exécution de la</w:t>
      </w:r>
    </w:p>
    <w:p>
      <w:r>
        <w:t>- 44 - peine privative de liberté de huit mois prononcée par le présent jugement n’apparaissant pas à elle seule suffisante à le détourner de la récidive. Les conditions de l’art. 46 CP sont par conséquent pas réunies, de sorte que la révocation du sursis accordé le 9 décembre 2015 doit être confirmée. 6. 6.1 Il convient encore de se prononcer sur la répartition des frais de première instance qui ont été mis intégralement à la charge de l’appelant. 6.2 Selon l'art. 426 al. 1 CPP, le prévenu supporte les frais de procédure s'il est condamné.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6.3 En l’espèce, le sort du prévenu est modifié en deuxième instance par la libération de l’appelant du chef de prévention d’abus de confiance. Il convient dès lors de réduire la part des frais de première instance qui sont mis à sa charge et de les arrêter aux 9/10 de la quotité des frais, par 13'801 fr. 55, y compris l’indemnité allouée à son défenseur d’office et l’indemnité allouée au conseil d’office de la partie plaignante, mis à sa charge par la première juge, soit à 12'421 fr. 40, le solde étant laissé à la charge de l’Etat. L'appelant ne sera tenu de rembourser à l’Etat les 9/10 des indemnités allouées à son défenseur d’office et au conseil d’office de la partie plaignante que lorsque sa situation financière le permettra (art. 135 al. 4 CPP). Le jugement entrepris doit dès lors être réformé dans ce sens.</w:t>
      </w:r>
    </w:p>
    <w:p>
      <w:r>
        <w:t>- 45 - 7. En définitive, l’appel d’M.________ doit être partiellement admis, le jugement entrepris étant réformé aux chiffres I, II, III, XI et XII dans le sens des considérants qui précèdent. Sur la liste des opérations produites (P. 91), Me Dario Barbosa, défenseur d’office d’M.________ désigné le 15 mai 2018 en remplacement de Me Laurent Rouiller (P. 88), mentionne 20 heures et 5 minutes d’activité, y compris 2 heures pour l’audience d’appel du 28 mai 2018, ainsi que 244 fr. de débours comprenant une vacation à 120 fr., 13 fr. 70 de timbres et 368 photocopies. Le temps allégué est adéquat. Il convient toutefois de tenir compte du temps effectif de l’audience d’appel qui a duré une heure et d’allouer un montant de 50 fr. à titre de débours, montant correspondant au forfait, ainsi qu’une vacation à 120 francs. C’est ainsi une indemnité totale d’un montant de 3'882 fr. 60, correspondant à 19 heures et 5 minutes d’activité à 180 fr., à 50 fr. de débours, 120 fr. de vacation et à 277 fr. 60 de TVA, qui doit être allouée à Me Dario Barbosa pour la procédure d’appel. Vu l’issue de la cause, les frais de la procédure d’appel, par 16'627 fr. 40 constitués en l’espèce de l’émolument du présent jugement, par 4'440 fr. (art. 21 al. 1 et 2 TFIP [Tarif des frais de procédure et indemnités en matière pénale du 28 septembre 2010; RSV 312.03.1]), des frais de l’expertise, par 6'300 fr., et des indemnités de défenseur d’office allouées à Me Laurent Rouiller, par 2'004 fr. 80 (P. 89), et à Me Dario Barbosa, par 3'882 fr. 60, seront mis à raison des 2/3, soit par 11'084 fr. 95, à la charge d’M.________, qui succombe (art. 428 al. 2 CPP), le solde étant laissé à la charge de l’Etat. L'appelant ne sera tenu de rembourser à l’Etat les 2/3 des indemnités allouées à ses défenseur d’office que lorsque sa situation financière le permettra (art. 135 al. 4 CPP).</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