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PE14.022613 vom 13. Juli 2016</w:t>
      </w:r>
    </w:p>
    <w:p>
      <w:r>
        <w:t>VD Tribunal cantonal, 2016-07-13, FR</w:t>
      </w:r>
    </w:p>
    <w:p>
      <w:r>
        <w:rPr>
          <w:b/>
        </w:rPr>
        <w:t xml:space="preserve">Quelle: </w:t>
      </w:r>
      <w:r>
        <w:t>https://mcp.opencaselaw.ch/entscheid/vd_gerichte_PE14.022613</w:t>
      </w:r>
    </w:p>
    <w:p>
      <w:r>
        <w:t>FR: VD_GERICHTE PE14.022613 du 13 juillet 2016</w:t>
      </w:r>
    </w:p>
    <w:p>
      <w:r>
        <w:t>IT: VD_GERICHTE PE14.022613 del 13 luglio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auprès de l’autorité compétente par la partie plaignante qui a qualité pour recourir (cf. art. 382 al. 1 CPP), le recours est par conséquent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t>- 4 -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soutient en premier lieu que les faits tels que retenus par le Procureur dans son ordonnance de classement ne rendraient pas compte de l’intégralité des accusations qu’il a portées contre J.________ dans sa plainte pénale du 20 octobre 2014.</w:t>
      </w:r>
    </w:p>
    <w:p>
      <w:r>
        <w:rPr>
          <w:b/>
        </w:rPr>
        <w:t>E. 3.2</w:t>
      </w:r>
    </w:p>
    <w:p>
      <w:r>
        <w:t>Il ressort de cette plainte (P.4/1) que C.________ reproche à J.________ de s’être rendue coupable de diffamation, de calomnie et d’omission d’informer au sens de la LPD. Bien que le dispositif de l’ordonnance entreprise ne le mentionne pas expressément, le Procureur, dans sa motivation, a traité toutes les infractions exposées dans la plainte pénale et les a reliées aux faits dénoncés par le plaignant. Le grief selon lequel le Ministère public n’aurait pas pris entièrement en compte l’état de fait exposé par le plaignant n’est ainsi pas pertinent.</w:t>
      </w:r>
    </w:p>
    <w:p>
      <w:r>
        <w:t>- 5 -</w:t>
      </w:r>
    </w:p>
    <w:p>
      <w:r>
        <w:rPr>
          <w:b/>
        </w:rPr>
        <w:t>E. 4.1</w:t>
      </w:r>
    </w:p>
    <w:p>
      <w:r>
        <w:t>Le recourant soutient en substance que ce serait à tort que le Procureur a classé l’affaire pour diffamation et calomnie.</w:t>
      </w:r>
    </w:p>
    <w:p>
      <w:r>
        <w:rPr>
          <w:b/>
        </w:rPr>
        <w:t>E. 4.2.1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Petit commentaire du Code pénal, Bâle 2012, n. 4 ad rem. prél. aux art. 173 à 178 CP et la doctrine citée). Une allégation litigieuse ne portant atteinte qu'à la considération dont jouit le lésé dans sa profession ou ses affaires, ne tombe donc pas sous le coup des art. 173 ss CP (ATF 115 IV 44 consid. 1, JdT 1990 IV 107). L’honneur professionnel n’est pas protégé par les dispositions du Code pénal</w:t>
      </w:r>
    </w:p>
    <w:p>
      <w:r>
        <w:t>- 6 - réprimant les atteintes à l’honneur (ATF 119 IV 47 consid. 2a; ATF 105 IV 111 consid.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4.2.2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t>- 7 -</w:t>
      </w:r>
    </w:p>
    <w:p>
      <w:r>
        <w:rPr>
          <w:b/>
        </w:rPr>
        <w:t>E. 4.2.3</w:t>
      </w:r>
    </w:p>
    <w:p>
      <w:r>
        <w:t>Le Tribunal fédéral a considéré que les allégations attentatoires à l’honneur émanant des parties dans un procès sont justifiées par les droits et obligations de plaider la cause. Il faut toutefois que ces propos soient en rapport avec la question à juger et qu’ils n’aillent pas au-delà de ce qui est nécessaire, que l’auteur n’ait pas connaissance de la fausseté de ses allégations et qu’il désigne comme tels de simples soupçons (ATF 131 IV 154 consid. 1.3, JdT 2007 IV 3, spéc. p. 6).</w:t>
      </w:r>
    </w:p>
    <w:p>
      <w:r>
        <w:rPr>
          <w:b/>
        </w:rPr>
        <w:t>E. 4.3</w:t>
      </w:r>
    </w:p>
    <w:p>
      <w:r>
        <w:t>En l’espèce, le courrier litigieux du 23 juillet 2014 a été adressé par la prévenue à l’Office régional de protection des mineurs du Nord vaudois en lien avec la relation très conflictuelle qui subsistait avec son ex-époux. Certes, les propos tenus par la prévenue sont de nature à donner une image négative du plaignant, mais ils ne font pas apparaître ce dernier comme une personne méprisable. La prévenue s’est adressée à une autorité de protection de l’enfant, car elle avait peur pour son fils. Il est donc normal que, dans ce cadre, elle ait exposé des critiques et des craintes à l’égard de son ex-époux. De surcroît, cette autorité à l’habitude de recevoir de tels courriers et a de ce fait objectivé les propos de la prévenue, ce qui atténue d’autant plus la portée des critiques proférées. Le fait que la prévenue ait mentionné qu’une procédure pénale était ouverte contre le plaignant en lien avec leur conflit n’est pas non plus de nature préjudiciable. Outre qu’il s’agissait d’un fait objectif et non mensonger, l’Office, une fois saisi du cas, allait de toute manière être informé qu’une enquête pénale était menée contre C.________ pour non- paiement d’une pension alimentaire. On ne saurait donc retenir que les allégations proférées par la prévenue étaient attentatoires à l’honneur. Les conditions des art. 173 et 174 CP ne sont dès lors pas remplies. Au demeurant, même si ces allégations devaient être considérées comme portant atteinte à l’honneur du plaignant, on constatera que la prévenue n’a pas agi dans le simple dessein de nuire et sans motifs (art. 173 al. 3 CP). S’agissant notamment des propos concernant la mauvaise volonté du plaignant à payer la pension</w:t>
      </w:r>
    </w:p>
    <w:p>
      <w:r>
        <w:t>- 8 - alimentaire et de la faillite de celui-ci, la prévenue n’a fait que se référer à la procédure actuellement instruite par le Ministère public – qui a d’ailleurs donné lieu à une ordonnance pénale du 8 novembre 2015 à l’encontre du plaignant – ainsi qu’aux informations reçues par le Bureau de recouvrement et d'avances de pensions alimentaires (BRAPA). Concernant les autres allégations proférées, il ressort d’un courrier du BRAPA du 7 mai 2014 (P. 16) que le recourant a lui-même invoqué qu’il avait des problèmes d’ordre psychologique l’empêchant de travailler à plein temps et qu’il souhaitait quitter la Suisse pour aller vivre en Italie. En conclusion, on retiendra donc que les allégations de la prévenue étaient péremptoires et inadéquates, car apportées sans nuances, mais il n’en reste pas moins que les termes étaient soit exacts, et donc véridiques, ou tenus de bonne foi pour vrais, soit non diffamatoires, en tant que l’appréciation ne portait pas atteinte à la considération du plaignant. Au vu de ce qui précède, force est de constater que c’est à bon droit que le Procureur a considéré que la prévenue ne s’était pas rendue coupable de diffamation et de calomnie.</w:t>
      </w:r>
    </w:p>
    <w:p>
      <w:r>
        <w:rPr>
          <w:b/>
        </w:rPr>
        <w:t>E. 5.1</w:t>
      </w:r>
    </w:p>
    <w:p>
      <w:r>
        <w:t>Le recourant soutient que J.________ aurait violé l’art. 14 al. 1 et 3 LPD en évoquant notamment l’ordonnance pénale susmentionnée.</w:t>
      </w:r>
    </w:p>
    <w:p>
      <w:r>
        <w:rPr>
          <w:b/>
        </w:rPr>
        <w:t>E. 5.2</w:t>
      </w:r>
    </w:p>
    <w:p>
      <w:r>
        <w:t>En vertu de l’art. 14 al. 1 LPD, le maître du fichier a l'obligation d'informer la personne concernée de toute collecte de données sensibles ou de profils de la personnalité la concernant, que la collecte soit effectuée directement auprès d'elle ou auprès d'un tiers. Si les données ne sont pas collectées auprès de la personne concernée, celle-ci doit être informée au plus tard lors de leur enregistrement ou, en l'absence d'un enregistrement, lors de la première communication à un tiers (art. 14 al. 3 LPD).</w:t>
      </w:r>
    </w:p>
    <w:p>
      <w:r>
        <w:t>- 9 - On entend par maître du fichier la personne privée ou l'organe fédéral qui décide du but et du contenu du fichier (art. 3 al. 1 let. i LPD) et par données sensibles les données personnelles sur les opinions ou activités religieuses, philosophiques, politiques ou syndicales, la santé, la sphère intime ou l'appartenance à une race, des mesures d'aide sociale, et des poursuites ou sanctions pénales et administratives (art. 3 al. 1 let. c LPD).</w:t>
      </w:r>
    </w:p>
    <w:p>
      <w:r>
        <w:rPr>
          <w:b/>
        </w:rPr>
        <w:t>E. 5.3</w:t>
      </w:r>
    </w:p>
    <w:p>
      <w:r>
        <w:t>En l’espèce, la LPD n’est pas applicable au présent cas dès lors que J.________ ne peut pas être considérée comme le maître du fichier au sens de cette loi. Ce grief tombe donc à faux.</w:t>
      </w:r>
    </w:p>
    <w:p>
      <w:r>
        <w:rPr>
          <w:b/>
        </w:rPr>
        <w:t>E. 6</w:t>
      </w:r>
    </w:p>
    <w:p>
      <w:r>
        <w:t>Le recourant conclut enfin à la suspension de la procédure jusqu’à droit définitivement jugé dans la procédure [...]-SJH, à la jonction de la présente procédure avec cette dernière ou à tout le moins à ce que soit versé à la procédure actuelle le procès-verbal du témoignage rendu par [...] et à ce que les auditions de cinq témoins supplémentaires soient ordonnées. Au vu de l’examen qui vient d’être fait, ces réquisitions n’ont plus d’objet.</w:t>
      </w:r>
    </w:p>
    <w:p>
      <w:r>
        <w:rPr>
          <w:b/>
        </w:rPr>
        <w:t>E. 7</w:t>
      </w:r>
    </w:p>
    <w:p>
      <w:r>
        <w:t>En définitive, le recours doit être rejeté sans autre échange d’écritures (art. 390 al. 2 CPP) et l’ordonnance de classement du 25 mai 2016 confirmée. Les frais de la procédure de recours, constitués en l’espèce du seul émolument d’arrêt, par 990 fr. (art. 20 al. 1 TFIP [Tarif des frais de procédure et indemnités en matière pénale du 28 septembre 2010 ; RSV 312.03.1]), seront mis à la charge du recourant, qui succombe (art. 428 al. 1 CPP).</w:t>
      </w:r>
    </w:p>
    <w:p>
      <w:r>
        <w:t>- 10 - Par ces motifs, la Chambre des recours pénale prononce : I. Le recours est rejeté. II. L’ordonnance du 25 mai 2016 est confirmée. III. Les frais de la procédure de recours, par 990 fr. (neuf cent nonante francs), sont mis à la charge de C.________. IV. L’arrêt est exécutoire. Le président : La greffière : Du Le présent arrêt, dont la rédaction a été approuvée à huis clos, est notifié, par l'envoi d'une copie complète, à : - Me Giuseppe Donatiello, avocat (pour C.________), - Mme J.________, - Ministère public central, et communiqué à : - M. le Procureur de l’arrondissement du Nord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