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PE14.022293 vom 10. Februar 2016</w:t>
      </w:r>
    </w:p>
    <w:p>
      <w:r>
        <w:t>VD Tribunal cantonal, 2016-02-10, FR</w:t>
      </w:r>
    </w:p>
    <w:p>
      <w:r>
        <w:rPr>
          <w:b/>
        </w:rPr>
        <w:t xml:space="preserve">Quelle: </w:t>
      </w:r>
      <w:r>
        <w:t>https://mcp.opencaselaw.ch/entscheid/vd_gerichte_PE14.022293</w:t>
      </w:r>
    </w:p>
    <w:p>
      <w:r>
        <w:t>FR: VD_GERICHTE PE14.022293 du 10 février 2016</w:t>
      </w:r>
    </w:p>
    <w:p>
      <w:r>
        <w:t>IT: VD_GERICHTE PE14.022293 del 10 febbraio 2016</w:t>
      </w:r>
    </w:p>
    <w:p>
      <w:pPr>
        <w:pStyle w:val="Heading2"/>
      </w:pPr>
      <w:r>
        <w:t>Erwägungen</w:t>
      </w:r>
    </w:p>
    <w:p>
      <w:r>
        <w:rPr>
          <w:b/>
        </w:rPr>
        <w:t>E. 1.1</w:t>
      </w:r>
    </w:p>
    <w:p>
      <w:r>
        <w:t>C.________, né le [...] 1992 à [...], marié, a deux enfants âgés respectivement de 4 ans et de 2 mois. Il travaille comme conseiller d’assu- rance auprès de la [...] depuis septembre 2014 et réalise un salaire net de 7'300 fr., composé d’un fixe de 1'000 fr., de 1'300 fr. pour ses frais réels de déplacement et de repas et de 5'000 fr. de commissions. Le loyer de l’appartement familial se monte à 1'200 fr. et il paie 150 fr. pour ses primes d’assurance maladie et complémentaires en raison des subsides qu’il perçoit. Son épouse ne travaille pas. Il n’a ni fortune, ni dette, hormis un remboursement de 35% des 10'000 fr. de dommages qui ont été causés aux véhicules de tiers lors des faits en cause, de sorte qu’il rembourse 280 fr. par mois. A l’audience d’appel, C.________ a précisé qu’il avait intégralement remboursé la part de 35 % des dommages occasionnés aux véhicules de tiers qu’il devait payer.</w:t>
      </w:r>
    </w:p>
    <w:p>
      <w:r>
        <w:rPr>
          <w:b/>
        </w:rPr>
        <w:t>E. 1.2</w:t>
      </w:r>
    </w:p>
    <w:p>
      <w:r>
        <w:t>Le casier judiciaire suisse du prévenu ne comporte aucune inscription.</w:t>
      </w:r>
    </w:p>
    <w:p>
      <w:r>
        <w:t>- 9 - Le fichier ADMAS fait état d’un retrait de permis d’un mois du 15 juillet au 14 août 2014 pour inattention et distance insuffisante, et d’un retrait de permis de 7 mois du 25 octobre 2014 au 24 mai 2015 lié aux faits de la présente cause.</w:t>
      </w:r>
    </w:p>
    <w:p>
      <w:r>
        <w:rPr>
          <w:b/>
        </w:rPr>
        <w:t>E. 2</w:t>
      </w:r>
    </w:p>
    <w:p>
      <w:r>
        <w:t>- 11 -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 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 Ministère public soutient que le prévenu a été libéré à tort des chefs de prévention de tentative d’opposition ou de dérobade aux mesures visant à déterminer l’incapacité de conduire et de violation des devoirs en cas d’accident. Il fait valoir que le prévenu aurait dû s’arrêter immédiatement après avoir heurté deux véhicules stationnés dans le parking et aviser tout de suite les lésés, qu’en quittant le parking malgré l’accident qu’il avait occasionné, le prévenu avait l’intention de se soustraire au contrôle de police et que le fait qu’il ait été contraint de s’arrêter peu de temps après ensuite d’une perte de maîtrise ne saurait supprimer cette intention délictueuse.</w:t>
      </w:r>
    </w:p>
    <w:p>
      <w:r>
        <w:t>- 12 -</w:t>
      </w:r>
    </w:p>
    <w:p>
      <w:r>
        <w:rPr>
          <w:b/>
        </w:rPr>
        <w:t>E. 3.1.1</w:t>
      </w:r>
    </w:p>
    <w:p>
      <w:r>
        <w:t>Selon l'art. 91a al. 1 LCR (Loi fédérale sur la circulation routière du 19 décembre 1958 ; RS 741.01),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Ils peuvent aussi se rapporter au comportement du conducteur (haleine sentant l'alcool, yeux injectés, élocution pâteuse ou démarche incertaine; propos incohérents ou une extrême agitation; ATF 126 IV 53 consid. 2a). Constituent enfin des indices d'ébriété les activités de l'auteur avant l'accident (participation à une fête, consommation d'alcool), voire même les antécédents routiers d'un conducteur (TF 6S.435/2001 du 8 août 2001 consid. 2e). L'opposition suppose que la mesure a été ordonnée. Il est nécessaire que les circonstances aient autorisé l’autorité à donner l'ordre</w:t>
      </w:r>
    </w:p>
    <w:p>
      <w:r>
        <w:t>- 13 -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(Corboz, Les infractions en droit suisse, vol. II, 3e éd., Berne 2010, n. 15 ad art. 91a LCR). L'infraction étant intentionnelle, il suffit que l'auteur soit conscient d'être l'objet d'un ordre de se soumettre à une mesure et que, ce nonobstant, il s'y oppose (Jeanneret, Les dispositions pénales de la loi sur la circulation routière (LCR), Berne 2007, n. 42 ad art. 91a LCR). Sur le plan subjectif, le dol éventuel suffit pour retenir une infraction à l'art. 91a al. 1 LCR (TF 6B_927/2014 du 16 janvier 2015; TF 6B_5/2012 du 17 avril 2012).</w:t>
      </w:r>
    </w:p>
    <w:p>
      <w:r>
        <w:rPr>
          <w:b/>
        </w:rPr>
        <w:t>E. 3.1.2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3e éd., Berne 2010, nn. 7 ss ad art. 285 CP ; Favre/Pellet/Stoudmann, Code pénal annoté, 3e éd., Lausanne 2011, n. 1.1 ad art. 285 CP et les références citées). Le concours entre les art. 285 CP et 91a LCR est admis (Bussy/ Rusconi, Code suisse de la circulation commenté, 4e éd., Bâle 2015, n. 5.3 ad art. 91a LCR).</w:t>
      </w:r>
    </w:p>
    <w:p>
      <w:r>
        <w:t>- 14 -</w:t>
      </w:r>
    </w:p>
    <w:p>
      <w:r>
        <w:rPr>
          <w:b/>
        </w:rPr>
        <w:t>E. 3.1.3</w:t>
      </w:r>
    </w:p>
    <w:p>
      <w:r>
        <w:t>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En cas de violation intentionnelle et si les autres conditions posées par la loi sont remplies, il peut également y avoir dérobade au sens de l'art. 91a LCR.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1re phrase LCR (TF 6B_1027/2013 du 14 avril 2014 consid. 3.1 et les références citées). L'élément subjectif de l'infraction de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(ibidem).</w:t>
      </w:r>
    </w:p>
    <w:p>
      <w:r>
        <w:t>- 15 -</w:t>
      </w:r>
    </w:p>
    <w:p>
      <w:r>
        <w:rPr>
          <w:b/>
        </w:rPr>
        <w:t>E. 3.2</w:t>
      </w:r>
    </w:p>
    <w:p>
      <w:r>
        <w:t>La première juge a libéré le prévenu du délit de tentative d’opposition ou de dérobade aux mesures visant à déterminer l’incapacité de conduire et de violation des devoirs en cas d’accident retenant, d’une part, la simultanéité de sa fuite pour échapper à la police et de la dérobade et, d’autre part, le fait que l’accident survenu sitôt après a mis à néant toute possibilité de s’opposer aux mesures de contrôle. Or, à l’instar du Ministère public, la cour de céans considère que l’insoumission initiale du prévenu à l’ordre de la police qui lui ordonnait de ne pas démarrer son véhicule en raison de son état d’ivresse manifeste s’est doublée d’une dérobade subséquente, dès lors qu’il a poursuivi sa course après le heurt de deux véhicules sur le parking et que ces accidents signifiaient nécessairement que son imprégnation alcoolique serait contrôlée. Néanmoins, l’alcoolémie du prévenu ayant pu être mesurée indépendamment de ses agissements, seule la tentative de dérobade aux mesures visant à déterminer l’incapacité de conduire sera retenue (art. 22 al. 1 CP et 91a al. 1 aLCR). Par son comportement, le prévenu s’est également rendu coupable, à tout le moins par dol éventuel, de violation des devoirs en cas d’accident (art. 92 LCR), de sorte qu’il doit aussi être condamné pour cette infraction. L’appel doit par conséquent être admis sur ce point et le jugement entrepris modifié dans ce sens.</w:t>
      </w:r>
    </w:p>
    <w:p>
      <w:r>
        <w:rPr>
          <w:b/>
        </w:rPr>
        <w:t>E. 4</w:t>
      </w:r>
    </w:p>
    <w:p>
      <w:r>
        <w:t>Le Ministère public considère que la peine infligée de 150 jours-amende est trop modeste au regard de l’importance de la mise en danger de tiers et requiert la condamnation du prévenu à une peine de 330 jours-amende, seule une partie de la peine portant sur 165 jours- amende étant suspendue pendant un délai d’épreuve de 4 ans, ainsi qu’à une amende de 900 fr., la peine de substitution étant de 15 jours en cas de non-paiement fautif. Il fait valoir que le brigadier M.________ a réussi à se dégager tant bien que mal de l’habitacle du véhicule du prévenu lorsque celui-ci a démarré, que la sécurité des piétons alors présents sur le parking a également été mise en danger et que trop d’importance a été accordée à la prise de conscience et aux excuses du prévenu.</w:t>
      </w:r>
    </w:p>
    <w:p>
      <w:r>
        <w:rPr>
          <w:b/>
        </w:rPr>
        <w:t>E. 4.1</w:t>
      </w:r>
    </w:p>
    <w:p>
      <w:r>
        <w:t>- 16 -</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4.1.2</w:t>
      </w:r>
    </w:p>
    <w:p>
      <w:r>
        <w:t>Aux termes de l'art. 19 al. 2 CP, le juge atténue la peine si, au moment d'agir, l'auteur ne possédait que partiellement la faculté</w:t>
      </w:r>
    </w:p>
    <w:p>
      <w:r>
        <w:t>- 17 - d'apprécier le caractère illicite de son acte ou de se déterminer d'après cette appréciation. Selon la jurisprudence du Tribunal fédéral, une alcoolémie supérieure à 2 grammes pour mille entraîne une présomption de diminution de la responsabilité pénale, laquelle peut toutefois être renversée par des indices contraires (ATF 122 IV 49 consid. 1b, JdT 1998 IV 10 ; Favre/Pellet/Stoudmann, op. cit., n. 2.4 ad art. 19 CP ; Dupuis et al., Petit commentaire du Code pénal, Bâle 2012, n. 17 ad art. 19 CP).</w:t>
      </w:r>
    </w:p>
    <w:p>
      <w:r>
        <w:rPr>
          <w:b/>
        </w:rPr>
        <w:t>E. 4.1.3</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w:t>
      </w:r>
    </w:p>
    <w:p>
      <w:r>
        <w:t>- 18 -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L’énumération de l’art. 34 al. 2 CP n’est pas exhaustive. Ainsi, peuvent entrer en considération les charges auxquelles l’auteur ne peut se soustraire, ainsi que d’autres circonstances génératrices de frais, tels les dépens, les dommages et intérêts ou la réparation qui découlent de l’infraction pour laquelle l’auteur est condamné ou les frais de justice (Dupuis et al., op. cit., n. 26 ad art. 34 CP).</w:t>
      </w:r>
    </w:p>
    <w:p>
      <w:r>
        <w:rPr>
          <w:b/>
        </w:rPr>
        <w:t>E. 4.1.4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4.1.5</w:t>
      </w:r>
    </w:p>
    <w:p>
      <w:r>
        <w:t>Conformément à l’art. 42 al. 4 CP, le juge peut prononcer, en plus d’une peine assortie du sursis, une peine pécuniaire sans sursis ou</w:t>
      </w:r>
    </w:p>
    <w:p>
      <w:r>
        <w:t>- 19 -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4.1.6</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4.2.1</w:t>
      </w:r>
    </w:p>
    <w:p>
      <w:r>
        <w:t>La première juge a infligé au prévenu une peine pécuniaire de 150 jours-amende à 40 fr. le jour, avec sursis pendant deux ans, ainsi qu’une amende de 600 fr., la peine privative de liberté de substitution étant de 15 jours. Elle a écarté un état d’irresponsabilité du prévenu en raison des souvenirs conservés jusqu’au moment où il a pris place dans son véhicule, mais elle n’a pas examiné une éventuelle diminution de responsabilité, retenant une alcoolémie moyenne de 1,84 g/kg.</w:t>
      </w:r>
    </w:p>
    <w:p>
      <w:r>
        <w:t>- 20 - En l’espèce, C.________ s’est rendu coupable de violence ou menace contre les autorités et les fonctionnaires, de violation simple et de violation grave des règles de la circulation routière, de conduite en présence d’un taux d’alcool qualifié dans le sang ou dans l’haleine, de contravention à l’Ordonnance sur les règles de la circulation routière, ainsi que de tentative d’opposition ou de dérobade aux mesures visant à déterminer l’incapacité de conduire et de violation des devoirs en cas d’accident. Il y a donc concours d’infractions. Toutefois, si l’infraction d’opposition ou de dérobade aux mesures visant à déterminer l’incapacité de conduire est réalisée sous la forme d’une tentative, sa portée sur la sanction est en revanche réduite au vu de l’enchaînement des faits, le prévenu ayant été guidé par l’intention initiale de s’enfuir loin de la police, ce qui impliquait déjà d’éviter la mesure de son alcoolémie, sans que la supposée intention subséquente d’éviter le prévisible contrôle lié étroite- ment aux accidents n’alourdisse significativement sa culpabilité. Si les fautes de circulation commises par le prévenu sont effectivement lourdes et la mise en danger importante, comme cela résulte notamment de la violence du choc final (P. 14), celles-ci ont toutes pour origine un abus massif d’alcool, aucune trace de drogue n’ayant été décelée dans l’urine du prévenu (P. 17). Le taux d’alcoolémie dans le sang prélevé à 5h30, soit environ une heure après les faits qui se sont déroulés à 4h22, a permis d’évaluer un taux d’alcoolémie variant entre 1,74 et 2,37 g/kg au moment des faits (P. 10). Cela étant, le comportement irrationnel et incohérent du prévenu, ainsi que son amnésie de l’intervention du policier, des accidents dans le parking et de la perte de maîtrise finale, tendent à confirmer que le prévenu n’était pas en pleine possession de ses moyens au moment des faits. Aussi, dans l’impossibilité de situer avec précision le taux d’alcoolémie de l’intéressé au moment critique et en se fondant sur l’état de fait le plus favorable au prévenu (art. 10 al. 3 CPP), il faut lui reconnaître un taux d’alcoolémie de l’ordre de 2 g ‰ et une diminution légère de sa responsabilité. A décharge, on retiendra le comportement du prévenu après</w:t>
      </w:r>
    </w:p>
    <w:p>
      <w:r>
        <w:t>- 21 - les faits. Le prévenu a admis les faits et sa prise de conscience paraît bien réelle et non de circonstance, celle-ci résultant tant de ses propos en audience de première instance, au policier rencontré en ville de [...] et en audience d’appel, que des excuses écrites envoyées au brigadier M.________ (P. 27/1), des témoignages écrits de moralité émanant de proches (P. 30) que de la réparation partielle assumée des dégâts matériels intégralement remboursés. Tout bien considéré, la peine pécuniaire de 150 jours-amende, conforme aux principes légaux à charge et à décharge et à la culpabilité de C.________, réprime adéquatement le comportement fautif du prévenu. Il convient en revanche d’augmenter le montant du jour-amende à 60 fr., alors même que le prévenu a certainement dû supporter des frais de déplacement supplémentaires pour exercer son métier d’agent d’assurance durant les sept mois du retrait de son permis de conduire. Le prévenu réalise un salaire mensuel de 7'300 fr., dont il faut déduire le montant de 1'300 fr. alloué mensuellement pour ses frais fixes. Ainsi, si l’on déduit de son revenu mensuel net de 6'000 fr., le minimum vital du couple de 1'700 fr., celui des enfants de 800 fr., l’assurance maladie de 150 fr. et le loyer de 1'200 fr., on obtient un disponible de 2'150 fr. sur la base duquel il convient de fixer la valeur du jour-amende à 60 francs. Le jugement entrepris doit ainsi être modifié dans ce sens. L’amende prononcée en première instance constitue une sanction immédiate. Or, le prévenu, qui a un revenu mensuel net de 6'000 fr. et qui a deux enfants à charge, a déjà été passablement sanctionné par le remboursement partiel des dégâts occasionnés aux deux véhicules de tiers et par le retrait de son permis de conduire pendant sept mois. Ainsi, quand bien même le prévenu est également reconnu coupable de tentative d’opposition ou de dérobade aux mesures visant à déterminer l’incapacité de conduire et de violation des devoirs en cas d’accident au stade de l’appel, la cour de céans considère, au vu des fautes commises et de la peine pécuniaire infligée, qu’une amende de 600 fr. se justifie. Toutefois, compte tenu du montant de l’amende qui sanctionne une pluralité de contraventions à la législation routière, une peine privative de</w:t>
      </w:r>
    </w:p>
    <w:p>
      <w:r>
        <w:t>- 22 - liberté de substitution de six jours, correspondant au taux de conversion « standard » de l’amende de 100 fr. pour un jour de privation de liberté, paraît adéquate (Dupuis et al., op. cit., n.9 ad art. 106 CP ; Jeanneret, Les peines selon le nouveau Code pénal, in : Séminaire de formation continue des juges suisses concernant la partie générale du Code pénal, pp. 28 ss, spéc. p. 30, note de bas de page 140, cité par CCASS 26 janvier 2009/24 consid.3). La peine privative de liberté de substitution doit donc être réduite à 6 jours.</w:t>
      </w:r>
    </w:p>
    <w:p>
      <w:r>
        <w:rPr>
          <w:b/>
        </w:rPr>
        <w:t>E. 4.2.2</w:t>
      </w:r>
    </w:p>
    <w:p>
      <w:r>
        <w:t>Contrairement à ce que soutient le Ministère public, la cour de céans considère que le pronostic ne peut être tenu pour défavorable compte tenu de la prise de conscience et de l’insertion sociale du prévenu, de sorte qu’un sursis complet doit être accordé, la durée du délai d’épreuve de deux ans pouvant également être confirmée. Les condamnations prononcées par le Président du Tribunal des mineurs les 3 mars 2005 et 1er février 2007 à l’encontre du prévenu, qui n’ont pas été inscrites au casier judiciaire, ne peuvent lui être opposées (cf. art. 366 al. 3 et 369 al. 7CP ; Forumpoenale 2/2016, no 15 ; Dupuis et al., op. cit., n. 4 ad art. 369 CP et références citées). De plus, on ne saurait parler véritablement de récidive d’infractions aux règles de la circulation routière en se référant à une mesure administrative, soit le retrait de permis de conduire d’un mois exécuté par le prévenu du 15 juillet au 14 août 2014 pour inattention et distance insuffisante. Mal fondé, ce moyen doit être rejeté.</w:t>
      </w:r>
    </w:p>
    <w:p>
      <w:r>
        <w:rPr>
          <w:b/>
        </w:rPr>
        <w:t>E. 5</w:t>
      </w:r>
    </w:p>
    <w:p>
      <w:r>
        <w:t>En définitive, l’appel du Ministère public doit être très partiellement admis et le jugement entrepris réformé aux chiffres I, II, III et V de son dispositif dans le sens des considérants. Il n’y a pas lieu d’allouer une indemnité au défenseur d’office de C.________, le prévenu et Me Paraskevi Roten-Krevvata y ayant expressément renoncé en raison de la couverture de l’assurance protection juridique dont bénéficie C.________.</w:t>
      </w:r>
    </w:p>
    <w:p>
      <w:r>
        <w:t>- 23 - Vu l’issue de la cause, les frais de la procédure d’appel, constitués de l’émolument du présent jugement, par 2’160 fr. (art. 21 al. 1 TFIP [Tarif des frais de procédure et indemnités en matière pénale du 28 septembre 2010 ; RSV 312.03.1])</w:t>
      </w:r>
    </w:p>
    <w:p>
      <w:r>
        <w:t>- 24 - doivent être mis à raison d’un quart, soit 540 fr., à la charge de C.________,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