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PE14.022044 vom 15. Februar 2021</w:t>
      </w:r>
    </w:p>
    <w:p>
      <w:r>
        <w:t>VD Tribunal cantonal, 2021-02-15, FR</w:t>
      </w:r>
    </w:p>
    <w:p>
      <w:r>
        <w:rPr>
          <w:b/>
        </w:rPr>
        <w:t xml:space="preserve">Quelle: </w:t>
      </w:r>
      <w:r>
        <w:t>https://mcp.opencaselaw.ch/entscheid/vd_gerichte_PE14.022044</w:t>
      </w:r>
    </w:p>
    <w:p>
      <w:r>
        <w:t>FR: VD_GERICHTE PE14.022044 du 15 février 2021</w:t>
      </w:r>
    </w:p>
    <w:p>
      <w:r>
        <w:t>IT: VD_GERICHTE PE14.022044 del 15 febbraio 2021</w:t>
      </w:r>
    </w:p>
    <w:p>
      <w:pPr>
        <w:pStyle w:val="Heading2"/>
      </w:pPr>
      <w:r>
        <w:t>Erwägungen</w:t>
      </w:r>
    </w:p>
    <w:p>
      <w:r>
        <w:rPr>
          <w:b/>
        </w:rPr>
        <w:t>E. 2</w:t>
      </w:r>
    </w:p>
    <w:p>
      <w:r>
        <w:t>Cst. (Constitution fédérale de la Confédération suisse du 18 avril 1999 ; RS 101 ; droit d'être entendu), de l'art. 32 al. 2 Cst. (droit d'être informé, dans les plus brefs délais et de manière détaillée, des accusations portées contre soi) et de l'art. 6 § 3 let. a CEDH (Convention de sauvegarde des droits de l'homme et des libertés fondamentales du 4 novembre 1950 ; RS 0.101 ; droit d'être informé de la nature et de la cause de l'accusation). L'acte d'accusation définit ainsi l'objet du procès et sert également à informer le prévenu (fonctions de délimitation et d'information ; ATF 143 IV 63 consid. 2.2, JdT 2017 IV 351 ; ATF 141 IV 132 consid. 3.4.1 et les</w:t>
      </w:r>
    </w:p>
    <w:p>
      <w:r>
        <w:t>- 15 - références citées, JdT 2015 IV 258 ; TF 66_1110/2020, déjà cité, consid. 1.1). 4.1.3 En l'espèce, l'acte d'accusation précise que les deux sociétés du prévenu, soit la raison individuelle O.________ et ensuite la raison sociale L._______ Sàrl, ont été liées par un contrat d'affrètement avec R._________ SA, lequel a été résilié par courrier du 13 décembre 2013, adressé en recommandé, avec effet au 31 mars 2014. Les faits litigieux, soit le fait de prélever du carburant auprès des installations techniques de R._________ SA au moyen d'un badge, tout en sachant qu'il ne serait plus possible de procéder au paiement par compensation, se sont déroulés entre le mois de décembre 2013 et mars 2014. A la simple lecture de l'acte d'accusation, le prévenu savait les faits qui lui étaient reprochés et devait être en mesure de se défendre correctement. Lors de sa dernière audition, les questions posées par le Ministère public et par les conseils du plaignant et du prévenu (notamment « Qui a effectué des prélèvements de carburant au moyen du badge ? », cf. PV aud. 4, l. 94) concernaient précisément la question de l'utilisation du badge par les employés de la raison sociale L._______ Sàrl. Le prévenu ne peut dès lors pas prétendre qu'au vu de l'acte d'accusation, il s'agissait seulement d'examiner s'il avait personnellement utilisé le badge et non s'il en avait fait profiter sa société en le laissant à disposition des employés. Il pouvait ainsi parfaitement se défendre à cet égard et était informé du complexe de faits et des accusations qui étaient portées contre lui. Au vu de ce qui précède, le grief de violation du principe de l'accusation doit être rejeté. 4.2.1 L'appelant fait valoir ensuite que R._________ SA, soit la société émettrice du moyen de paiement et fournisseuse de la prestation, n'aurait pas pris les mesures que l'on pouvait attendre d'elle pour prévenir l'abus. Ainsi, dès le courrier électronique rédigé le 6 janvier 2014 par le directeur de L._______ Sàrl (P. 61/1, p. 2), celle-ci aurait dû prendre des dispositions pour éviter l'abus de carte et s'enquérir des capacités financières de cette société.</w:t>
      </w:r>
    </w:p>
    <w:p>
      <w:r>
        <w:t>- 16 - 4.2.2 Aux termes de l'art. 148 al. 1 CP, celui qui, quoique insolvable ou non disposé à s'acquitter de son dû, aura obtenu des prestations de nature patrimoniale en utilisant une carte-chèque, une carte de crédit ou tout moyen de paiement analogue et aura ainsi porté atteinte aux intérêts pécuniaires de l'organisme d'émission qui le lui avait délivré sera, pour autant que l'organisme d'émission et l'entreprise contractuelle aient pris les mesures que l'on pouvait attendre d'eux pour éviter l'abus de la carte, puni d'une peine privative de liberté de cinq ans au plus ou d'une peine pécuniaire. Selon la jurisprudence, il revient aux agents économiques d'assumer la responsabilité du bon ou du mauvais usage des instruments de paiement qu'ils mettent dans les mains de leur clientèle ; de manière générale, n'entrent en considération que les mesures usuelles dans la branche, techniquement et économiquement justifiées et qui permettent d'empêcher l'abus des cartes. Quoi qu'il en soit, c'est au juge qu'il revient d'apprécier les mesures acceptables (ATF 126 IV 260, consid. 2 in fine, et les références citées). 4.2.3 En l’espèce, le badge remis par R._________ SA permettait à son titulaire, au moment où il l'introduisait dans la machine et tapait son code, de prélever du carburant. Il s'agit dès lors d'un système bipartite, par lequel celui qui émet le moyen de paiement est le même que celui qui fournit la prestation, soit la plaignante. Le badge a été remis au prévenu au moment de la signature du contrat d'affrètement, à une date indéterminée, et a été utilisé sans abus, jusqu'à la résiliation du contrat d'affrètement. Contrairement à ce que soutient le prévenu, on ne saurait déduire du courriel du mois de janvier 2014 (P. 61/1, p. 2), dans lequel la société L._______ Sàrl réclame des arriérés de paiement à la plaignante, que celle-ci est en difficulté financière et qu'elle ne va plus s'acquitter des montants portés en crédit pour la fourniture de carburant. Comme l’ont retenu à juste titre les premiers juges, il n'y a pas lieu d'exiger de la société qui a émis le moyen de paiement qu'elle contrôle régulièrement la solvabilité de son cocontractant (cf. jugement entrepris, p. 30).</w:t>
      </w:r>
    </w:p>
    <w:p>
      <w:r>
        <w:t>- 17 - Dès lors, le prévenu ne saurait être libéré de l'infraction d'abus de cartes-chèques et de cartes de crédit pour ce motif. 4.3.1 L'appelant fait encore valoir que le titulaire légitime de la carte de crédit était la raison sociale L._______ Sàrl si bien qu’il n'aurait pas réalisé lui-même les éléments constitutifs de l'infraction de l'art. 148 CP. Il soutient que l'art. 29 CP ne créerait pas une responsabilité pénale objective des organes pour l'infraction commise au sein de l'entreprise, les personnes désignées par cette disposition devant, selon lui, avoir réalisé elles-mêmes les éléments constitutifs de l’infraction. 4.3.2 L'art. 29 let. a CP dispose qu'un devoir particulier dont la violation fonde ou aggrave la punissabilité qui incombe uniquement à la personne morale, à la société ou à l'entreprise en raison individuelle est imputé à une personne physique lorsque celle-ci agit en qualité d'organe d'une personne morale ou de membre d'un tel organe. L'art. 29 CP permet de combler les lacunes de la punissabilité qui interviennent lorsqu'une personne physique commet un délit propre qui viole un devoir particulier n'obligeant que l'entreprise, alors que celle-ci ne peut pas être punie conformément à l'adage societas delinquere non potest (Dupuis et al., Petit commentaire CP, 2e éd., Bâle 2017, n. 2 ad. art. 29 CP). Bien qu'elles n'aient pas besoin d'être obligées par le devoir particulier prescrit par la loi, les personnes physiques énumérées aux let. a à d de l'art. 29 CP doivent réaliser elles-mêmes les éléments constitutifs objectifs et subjectifs de l'infraction en cause pour être pénalement responsables (Dupuis et al., op. cit., n. 11 ad. art. 29 CP et les références citées). 4.3.3 En l’occurrence, il ressort de l'état de fait et des pièces au dossier que c'est bien le prévenu personnellement qui était titulaire du badge permettant de prélever du carburant, la question de la cession du badge à L._______ Sàrl ayant justement été à l'origine d'un conflit entre la plaignante et le prévenu (cf. P. 61). Quoiqu'il en soit, l'appelant ne peut pas se cacher derrière une absence de responsabilité pénale objective des organes dès lors qu'il était personnellement titulaire du badge avant de</w:t>
      </w:r>
    </w:p>
    <w:p>
      <w:r>
        <w:t>- 18 - l'avoir cédé, et qu'il a lui-même mis le badge à disposition des employés chauffeurs. En sa qualité d'organe de la société à laquelle il a cédé le badge, il doit être tenu responsable pénalement des agissements de ses employés dès lors qu'il a mis à leur disposition le badge litigieux et qu’il a permis à ses chauffeurs de continuer à prélever de l'essence, alors qu'il savait que la société était insolvable. L’appelant a ainsi agi en tant qu'organe de la société et l'art. 29 CP le rend punissable, contrairement à ce qu'il soutient. La condamnation pour abus d'abus de cartes-chèques et de cartes de crédit doit dès lors être confirmée.</w:t>
      </w:r>
    </w:p>
    <w:p>
      <w:r>
        <w:rPr>
          <w:b/>
        </w:rPr>
        <w:t>E. 5.1</w:t>
      </w:r>
    </w:p>
    <w:p>
      <w:r>
        <w:t>L’appelant conteste l’infraction d'appropriation illégitime en relation avec les faits mentionnés au consid. 2.5 du jugement entrepris. S’il admet qu'il entreposait, à bien plaire, des choses mobilières dans les locaux de L._______ Sàrl, il relève que le bon pour accord (P. 5/4, dossier C) en vue d'évacuer le matériel se trouvant encore dans les locaux de ladite société a été signé par B.X.________, qui doit dès lors être considérée comme l'auteure de l'infraction d'appropriation illégitime.</w:t>
      </w:r>
    </w:p>
    <w:p>
      <w:r>
        <w:rPr>
          <w:b/>
        </w:rPr>
        <w:t>E. 5.2</w:t>
      </w:r>
    </w:p>
    <w:p>
      <w:r>
        <w:t>; ATF 137 IV 57 consid. 4.3.1). La peine privative de liberté et la peine</w:t>
      </w:r>
    </w:p>
    <w:p>
      <w:r>
        <w:t>- 23 - pécuniaire ne sont pas des sanctions du même genre (ATF 144 IV 313 consid. 1.1 ; ATF 144 IV 217 consid. 2.2).</w:t>
      </w:r>
    </w:p>
    <w:p>
      <w:r>
        <w:rPr>
          <w:b/>
        </w:rPr>
        <w:t>E. 5.2.1</w:t>
      </w:r>
    </w:p>
    <w:p>
      <w:r>
        <w:t>Aux termes de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Le comportement punissable consiste à s'approprier sans droit une chose mobilière appartenant à autrui (Corboz, op. cit., n. 8 ad art. 137 CP). L'acte d'appropriation signifie que l'auteur incorpore économiquement</w:t>
      </w:r>
    </w:p>
    <w:p>
      <w:r>
        <w:t>- 19 - la chose ou la valeur de la chose à son propre patrimoine, pour la conserver, la consommer ou pour l'aliéner. Il y a également appropriation lorsque quelqu'un dispose d'une chose comme un propriétaire, sans pour autant en avoir la qualité. Dans le processus d'appropriation, on distingue l'aspect négatif de la privation et l'aspect positif de l'accaparement.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JdT 2005 IV 3 ; ATF 121 IV 23 consid. 1c, JdT 1996 IV 166 ; ATF 118 IV 148 consid. 2a, JdT 1994 IV 105). L'appropriation intervient sans droit lorsque l'auteur ne peut la justifier par une prétention qui lui soit reconnue par l'ordre juridique. Tel est le cas normalement lorsque l'auteur agi contre la volonté du propriétaire (Corboz, op. cit., n. 11 ad art. 137 CO ; Papaux, in : Macaluso/ Moreillon/Queloz, op. cit., n. 31 ad art. 137 CP et la référence citée). Sur le plan subjectif, l'infraction est intentionnelle ce qui suppose que l'auteur sache ou accepte que la chose appartient à autrui et qu'il ait la volonté, au moins à titre éventuel, de l'incorporer à son patrimoine (Corboz, op. cit., n. 14 ad art. 137 CP et les références citées). L'infraction prévue par l'art. 137 ch. 1 CP requiert en outre un dessein d'enrichissement illégitime pour soi-même ou pour autrui (Corboz, op. cit., n. 15 ad art. 137 CP). Il s'agit d'un élément subjectif particulier. Un enrichissement effectif n'est donc pas nécessaire pour la consommation de l'infraction. Il s'agit d'une virtualité dont la réalisation est souhaitée – ou acceptée – par l'auteur. Il suffit que l'auteur veuille obtenir un avantage économique aux dépens d'autrui (Pozo, Droit pénal, Partie spéciale, Bâle 2009, n. 804 et 805, p. 244). L'enrichissement consiste en une amélioration de la situation patrimoniale, c'est-à-dire une augmentation de l'actif, une diminution du passif, une non-diminution de l'actif ou une non- augmentation du passif (ATF 121 IV 104 consid. 2c).</w:t>
      </w:r>
    </w:p>
    <w:p>
      <w:r>
        <w:rPr>
          <w:b/>
        </w:rPr>
        <w:t>E. 5.2.2</w:t>
      </w:r>
    </w:p>
    <w:p>
      <w:r>
        <w:t>L'art. 137 ch. 2 al. 2 CP vise le cas de l'appropriation sans dessein d'enrichissement. Cette variante ne suppose aucune volonté de</w:t>
      </w:r>
    </w:p>
    <w:p>
      <w:r>
        <w:t>- 20 - tirer un quelconque avantage pécuniaire de l'appropriation. Il n'est pas non plus nécessaire que l'ayant droit subisse un quelconque dommage pour que l'infraction soit réalisée. Seul le strict pouvoir de disposition du propriétaire est protégé, indépendamment de toute conséquence sur le plan patrimonial (ATF 129 IV 223 consid. 7 ; JdT 2005 IV 3 ; Dupuis et al., op. cit., n. 7, n. 14 ad art. 137 CP). Les actes de justice privée, fondés sur une prétention réelle ou probable, de même que l'appropriation d'une chose en restituant sa valeur marchande sont des exemples classiques d'appropriation sans dessein d'enrichissement illégitime (Papaux, in : Macaluso/Moreillon/Queloz, op. cit., n. 47 ad art. 137 CP).</w:t>
      </w:r>
    </w:p>
    <w:p>
      <w:r>
        <w:rPr>
          <w:b/>
        </w:rPr>
        <w:t>E. 5.3</w:t>
      </w:r>
    </w:p>
    <w:p>
      <w:r>
        <w:t>En l’occurrence, s’il est exact que c'est B.X.________, à savoir l'épouse de l'appelant, qui a personnellement signé le bon pour autoriser le débarras du matériel qui se trouvait dans les locaux de sa société (P. 5/4, dossier C), la signature porte mention « Pour [...] », soit pour L._______ Sàrl. Cela s'explique par le fait que la marchandise était entreposée dans les locaux de la société, ce que ne conteste pas l'appelant. Pour les mêmes motifs que ceux exposés ci-dessus (cf. supra consid. 4.3), l'évacuation des locaux de la société dont le prévenu est l'organe lui est imputable, d'autant qu'il ressort des témoignages que l'épouse n'aurait jamais signé sans l'accord du mari (cf. jugement entrepris, p. 31), cette dernière ayant à cet égard déclaré lors de l’enquête qu’elle avait pour habitude de signer ce que son mari lui demandait de signer (PV aud. 2, R. à D. 9, p. 3). Dans ces circonstances, l'appelant ne saurait se retrancher derrière une signature sur un bon pour accord et les actes constitutifs d'appropriation illégitime sans dessein d'enrichissement lui sont bien imputables.</w:t>
      </w:r>
    </w:p>
    <w:p>
      <w:r>
        <w:rPr>
          <w:b/>
        </w:rPr>
        <w:t>E. 6</w:t>
      </w:r>
    </w:p>
    <w:p>
      <w:r>
        <w:t>L'appelant critique également les indemnités allouées aux plaignants en lien avec l'appropriation illégitime et l'abus de cartes- chèque et de cartes de crédit. Il ne fait cependant valoir aucun argument spécifique à cet égard, ce dont on peut déduire que ces indemnités ne</w:t>
      </w:r>
    </w:p>
    <w:p>
      <w:r>
        <w:t>- 21 - sont contestées que dans la mesure où les infractions précitées ont également été contestées. Dès lors que l'appel est rejeté s'agissant des art. 138 et 148 CP, les indemnités allouées aux plaignants peuvent être confirmées par adoption de motifs (art. 82 al. 4 CPP ; consid. 4 du jugement entrepris, pp. 34-36).</w:t>
      </w:r>
    </w:p>
    <w:p>
      <w:r>
        <w:rPr>
          <w:b/>
        </w:rPr>
        <w:t>E. 7.1</w:t>
      </w:r>
    </w:p>
    <w:p>
      <w:r>
        <w:t>L'appelant conteste la quotité de la peine infligée et le montant des frais de justice mis à sa charge.</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t>- 22 -</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w:t>
      </w:r>
    </w:p>
    <w:p>
      <w:r>
        <w:rPr>
          <w:b/>
        </w:rPr>
        <w:t>E. 7.2.3</w:t>
      </w:r>
    </w:p>
    <w:p>
      <w:r>
        <w:t>Selon l'art. 42 al. 1 CP, le juge suspend en règle générale l'exécution d'une peine pécuniaire ou d'une peine privative de liberté de deux ans au plus lorsqu'une peine ferme ne paraît pas nécessaire pour détourner l'auteur d'autres crimes ou délits. Aux termes de l’art. 43 al. 1 CP, le juge peut suspendre partiellement l’exécution d’une peine privative de liberté d’un an au moins et de trois ans au plus afin de tenir compte de façon appropriée de la faute de l’auteur (al. 1). La partie à exécuter ne peut excéder la moitié de la peine (al. 2).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 TF 6B_664/2007 du 18 janvier 2008 consid. 3.2.1 ;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w:t>
      </w:r>
    </w:p>
    <w:p>
      <w:r>
        <w:t>- 24 - changement d'attitude face à ses actes (TF 6B_171/2007 du 23 juillet 2007 consid. 4). Le juge dispose d'un large pouvoir d'appréciation en la matière (ATF 134 IV 1 consid. 5.2 : TF 6B_1285/2017 du 14 mai 2018 consid. 4.1 ; TF 6B_392/2016 du 10 novembre 2016).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7.2.4</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w:t>
      </w:r>
    </w:p>
    <w:p>
      <w:r>
        <w:rPr>
          <w:b/>
        </w:rPr>
        <w:t>E. 7.3</w:t>
      </w:r>
    </w:p>
    <w:p>
      <w:r>
        <w:t>En l’espèce, l’appelant n'explique pas pour quels motifs l'appréciation des premiers juges quant à la peine infligée, ou quant aux frais de justice mis à sa charge, serait erronée. A nouveau, on peut en déduire que ces éléments ne sont contestés que dans la mesure où le prévenu a contesté la réalisation de certaines infractions (cf. supra consid. 3.1, 4.1 et 5.1). Dès lors que l’appel est rejeté s'agissant des infractions contestées (cf. supra consid. 3.3, 4.1.3, 4.2.3, 4.3.3 et 5.3), il y a lieu de confirmer l’appréciation des premiers juges quant à la peine privative de liberté prononcée, celle-ci tenant adéquatement compte des éléments à charge et à décharge et de la situation personnelle du prévenu (cf. consid.</w:t>
      </w:r>
    </w:p>
    <w:p>
      <w:r>
        <w:t>- 25 - 4 du jugement entrepris, pp. 33-34). En effet, la culpabilité du prévenu est relativement lourde. Son activité délictuelle a été intense. Il n’a pas hésité à dépouiller sa raison individuelle pour en faire profiter sa Sàrl nouvellement créée. Il a agi à de multiples reprises et plusieurs infractions différentes sont retenues à son encontre. Avoisinant les 400'000 fr., le préjudice qu’il a fait subir aux plaignants est important. La prise de conscience du prévenu, qui tente de se défausser de ses responsabilités, est insignifiante. Enfin, l’intéressé n’a rien entrepris pour réparer le dommage des plaignants. L'infraction la plus grave est celle d'abus de cartes-chèques et de cartes de crédit en relation avec les faits commis au préjudice de R._________ SA (cf. supra consid. 2.3 dans la partie « En fait »), laquelle doit être sanctionnée par une peine privative de liberté de 12 mois, qui constitue la peine de base. Par l'effet du concours, il convient d'augmenter cette peine de 8 mois pour l’infraction de diminution effective de l’actif au préjudice des créanciers (cf. supra consid. 2.2 dans la partie « En fait »), de 8 mois pour sanctionner les infractions à l’art. 138 ch. 1 CP – à savoir 6 mois pour les faits commis au préjudice de S._________ SA (cf. supra consid. 2.5 dans la partie « En fait ») et 2 mois pour les faits commis au préjudice de M._______ AG (cf. supra consid. 2.1 dans la partie « En fait ») – et de 1 mois pour l'appropriation illégitime commise au préjudice des proches (cf. supra consid. 2.4 dans la partie « En fait »), ce qui donne un total de 30 mois. S’agissant du sursis, le prévenu n’a pas d’antécédents, les derniers faits reprochés remontent à 2015 et il n’est pas établi qu’il a commis des infractions depuis cette date. Le pronostic n’étant dès lors pas clairement défavorable, il y a lieu de confirmer l'octroi du sursis partiel portant sur 18 mois – la peine ferme demeurant fixée à 12 mois compte tenu de l’absence de prise de conscience et de regrets –, avec un délai d’épreuve fixé au minimum légal de 2 ans.</w:t>
      </w:r>
    </w:p>
    <w:p>
      <w:r>
        <w:t>- 26 - La condamnation du prévenu étant confirmée en appel, il n’y a pas lieu de revenir sur la mise à sa charge des frais de procédure par les premiers juges.</w:t>
      </w:r>
    </w:p>
    <w:p>
      <w:r>
        <w:rPr>
          <w:b/>
        </w:rPr>
        <w:t>E. 8</w:t>
      </w:r>
    </w:p>
    <w:p>
      <w:r>
        <w:t>En définitive, l’appel de A.X.________ doit être rejeté et le jugement entrepris confirmé. Me Guy Longchamp, défenseur d'office du prévenu, a produit une liste d'opérations qui ne prête pas le flanc à la critique, indiquant 21.51 heures d’activité, dont 11.7 heures accomplies par l’avocat, et 9.8 par l’avocat-stagiaire. Au tarif horaire de 180 fr. pour l’avocat, respectivement 110 fr. pour l’avocat-stagiaire (art. 2 al. 1 let. a et 3 al. 1 RAJ [Règlement sur l'assistance judiciaire en matière civile du 7 décembre 2010 ; BLV 211.02.3] par renvoi de l'art. 26b TFIP [Tarif des frais de procédure et indemnités en matière pénale du 28 septembre 2010 ; BLV 312.03.1]), les honoraires s'élèvent à 3'184 fr. (2'106 fr. (11.7 x 180) + 1'078 fr. (9.8 x 110)). S'y ajoutent la TVA (7.7%), par 245 fr. 15, et des débours, par 49 fr. 50, de sorte que l'indemnité d'office s'élève à 3’478 fr. 65. Vu l’issue de la procédure, les frais d’appel, comprenant l'émolument de jugement, par 2’860 fr. (art. 21 al. 1 et 2 TFIP), ainsi que l’indemnité octroyée au défenseur d’office, soit au total 6'338 fr. 65 (2'860 fr. + 3’478 fr. 65), seront mis à la charge de l’appelant, qui succombe (art. 428 al. 1, 1re phr.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