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PE14.021489 vom 20. August 2015</w:t>
      </w:r>
    </w:p>
    <w:p>
      <w:r>
        <w:t>VD Tribunal cantonal, 2015-08-20, FR</w:t>
      </w:r>
    </w:p>
    <w:p>
      <w:r>
        <w:rPr>
          <w:b/>
        </w:rPr>
        <w:t xml:space="preserve">Quelle: </w:t>
      </w:r>
      <w:r>
        <w:t>https://mcp.opencaselaw.ch/entscheid/vd_gerichte_PE14.021489</w:t>
      </w:r>
    </w:p>
    <w:p>
      <w:r>
        <w:t>FR: VD_GERICHTE PE14.021489 du 20 août 2015</w:t>
      </w:r>
    </w:p>
    <w:p>
      <w:r>
        <w:t>IT: VD_GERICHTE PE14.021489 del 20 agosto 2015</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indépendamment de la prise de conclusions civiles (art. 382 al. 1 et art. 396 al. 1 CPP ; ATF 139 IV 78 ; ATF 139 IV 84), le recours est recevable.</w:t>
      </w:r>
    </w:p>
    <w:p>
      <w:r>
        <w:rPr>
          <w:b/>
        </w:rPr>
        <w:t>E. 2.1</w:t>
      </w:r>
    </w:p>
    <w:p>
      <w:r>
        <w:t>J.________ soutient que le Ministère public aurait appliqué à tort l’art. 52 CP, qui serait inapplicable pour les infractions de la présente</w:t>
      </w:r>
    </w:p>
    <w:p>
      <w:r>
        <w:t>- 4 - cause, de même que l’art. 53 CP, en raison de son intérêt et de celui de la collectivité à poursuivre une personne qui se rend coupable de faux dans les titres.</w:t>
      </w:r>
    </w:p>
    <w:p>
      <w:r>
        <w:rPr>
          <w:b/>
        </w:rPr>
        <w:t>E. 2.2.1</w:t>
      </w:r>
    </w:p>
    <w:p>
      <w:r>
        <w:t>Selon l'art. 319 al. 1 let. e CPP, le Ministère public ordonne le classement de tout ou partie de la procédure lorsqu'on peut renoncer à toute poursuite ou à toute sanction en vertu de dispositions légales. Cette disposition vise notamment le cas des art. 52 et 53 CP, qui prévoient que si la culpabilité de l'auteur et les conséquences de son acte sont peu importantes (art. 52 CP) ou si l'auteur a réparé le dommage ou accompli tous les efforts que l'on pouvait raisonnablement attendre de lui pour compenser le tort qu'il a causé et si l'intérêt public et l'intérêt du lésé à poursuivre l'auteur pénalement sont peu importants (art. 53 CP), l'autorité compétente renonce à le poursuivre, à le renvoyer devant le tribunal ou à lui infliger une peine (Roth, in: Kuhn/Jeanneret (éd.), Commentaire romand, Code de procédure pénale suisse, Bâle 2011, n. 13 ad art. 319 CPP). L’art. 52 CP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être annulées par une disposition générale. Il faut que l’appréciation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(Dupuis et al., Petit commentaire, Code pénal, Bâle 2012, n. 3 ad art. 52 CP).</w:t>
      </w:r>
    </w:p>
    <w:p>
      <w:r>
        <w:t>- 5 -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 1.2 et les références citées).</w:t>
      </w:r>
    </w:p>
    <w:p>
      <w:r>
        <w:rPr>
          <w:b/>
        </w:rPr>
        <w:t>E. 2.2.2</w:t>
      </w:r>
    </w:p>
    <w:p>
      <w:r>
        <w:t>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TF 6B_223/2012 du 14 décembre 2012 c. 2.2).</w:t>
      </w:r>
    </w:p>
    <w:p>
      <w:r>
        <w:t>- 6 -</w:t>
      </w:r>
    </w:p>
    <w:p>
      <w:r>
        <w:rPr>
          <w:b/>
        </w:rPr>
        <w:t>E. 2.2.3</w:t>
      </w:r>
    </w:p>
    <w:p>
      <w:r>
        <w:t>L’art. 150 CP dispose que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L’art. 172ter CP prévoit que si l’acte ne visait qu’un élément patrimonial de faible valeur ou un dommage de moindre importance, l’auteur sera, sur plainte, puni d’une amende. Selon la jurisprudence, un élément patrimonial est de faible valeur au sens de cette dernière disposition s’il ne dépasse pas 300 francs. Cet article exige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souhaitait s'attaquer à des valeurs patrimoniales importantes, mais qui, pour un motif quelconque, n'a finalement porté atteinte qu'à un élément de faible valeur (ATF 122 IV 156 c. 2).</w:t>
      </w:r>
    </w:p>
    <w:p>
      <w:r>
        <w:rPr>
          <w:b/>
        </w:rPr>
        <w:t>E. 2.3.1</w:t>
      </w:r>
    </w:p>
    <w:p>
      <w:r>
        <w:t>Dans le cas d’espèce, la falsification des dates sur le titre de transport constitue un faux matériel. Cette infraction se poursuit d’office, peu importe la gravité de l’acte. Dans la présente cause, l’infraction de faux dans les titres est consommée puisque l’intéressée a falsifié ce document, qu’elle avait déjà utilisé à une occasion précédente. L’infraction de faux dans les titres ne saurait être traitée comme un acte de peu d’importance au regard de l’art. 52 CP. En effet, il y a lieu de rappeler que cette infraction est passible d’une peine privative de liberté de cinq ans au plus et fait donc partie des crimes au sens de l’art. 10 al. 2 CP, soit les infractions les plus graves prévues par le Code pénal. Le législateur l’a voulu ainsi. L’art. 251 CP protège, en tant que biens juridiques, d’une part la confiance particulière qui est placée dans un titre ayant valeur probante dans les rapports juridiques et, d’autre part, la loyauté dans les relations commerciales (Dupuis et al., op. cit., n. 1 ad art. 251 CP). C’est donc à tort que le Ministère public a appliqué l’art. 52 CP pour ce type d’infraction. Il</w:t>
      </w:r>
    </w:p>
    <w:p>
      <w:r>
        <w:t>- 7 - lui sera néanmoins loisible de faire application de l’art. 251 al. 2 CP qui prévoit une peine plus modérée pour les cas de très peu de gravité selon son appréciation des faits.</w:t>
      </w:r>
    </w:p>
    <w:p>
      <w:r>
        <w:rPr>
          <w:b/>
        </w:rPr>
        <w:t>E. 2.3.2</w:t>
      </w:r>
    </w:p>
    <w:p>
      <w:r>
        <w:t>En ce qui concerne l’art. 150 CP, la fraude, qui est un élément constitutif de cette infraction, consiste à se soustraire aux mesures humaines ou techniques mises en place pour empêcher l’obtention illicite de la prestation (Dupuis et al., op. cit., n. 10 ad art. 150 CP). En revanche, si la fraude consiste dans l’usage d’un billet falsifié, c’est l’escroquerie « ordinaire » de l’art. 146 CP qui entre en considération (Dupuis et al., op. cit, n. 13 ad art. 150 CP). L’application de cette disposition doit se faire conjointement avec l’art. 172ter CP qui prévoit les cas d’importance mineure, puisque la valeur du billet pour le trajet Zurich – Lausanne était de 71 fr., soit un montant inférieur à 300 fr. Le comportement de la recourante doit ainsi être mesuré au cas normal de l’escroquerie visant un élément patrimonial d’une faible valeur au sens de l’art. 172ter CP. Il s’ensuit que là encore, les conditions de l’art. 52 CP n’apparaissent pas réunies en l’espèce.</w:t>
      </w:r>
    </w:p>
    <w:p>
      <w:r>
        <w:rPr>
          <w:b/>
        </w:rPr>
        <w:t>E. 2.3.3</w:t>
      </w:r>
    </w:p>
    <w:p>
      <w:r>
        <w:t>Pour ce qui est de l’art. 53 CP, M.________ a, certes, assumé ses responsabilités en s’acquittant des prétentions civiles présentées par J.________ et a reconnu le caractère illicite de son acte lors de son audition. Néanmoins, une infraction pouvant être qualifiée de faux dans les titres et d’escroquerie (cf. c. 2.3.2 supra) ne saurait être considérée comme un acte dont l’intérêt public à la poursuite pénale serait peu important et justifierait la renonciation à toute poursuite pénale, auquel cas de nombreuses infractions de ce type seraient commises à répétition en toute impunité. L’intérêt à la poursuite pénale est ici public, ce qui implique qu’une condamnation doit être prononcée lorsque les éléments constitutifs de l’infraction sont réunis. Pour le surplus, il y a lieu de se référer aux considérants précédents.</w:t>
      </w:r>
    </w:p>
    <w:p>
      <w:r>
        <w:rPr>
          <w:b/>
        </w:rPr>
        <w:t>E. 3</w:t>
      </w:r>
    </w:p>
    <w:p>
      <w:r>
        <w:t>En définitive, le recours doit être admis et l’ordonnance de classement du 12 mai 2015 annulée, le dossier de la cause étant renvoyé</w:t>
      </w:r>
    </w:p>
    <w:p>
      <w:r>
        <w:t>- 8 - au Ministère public de l’arrondissement de Lausanne pour qu’il procède selon l’art. 318 al. 1 CPP. Les frais de la procédure de recours, constitués en l'espèce de l'émolument d'arrêt, par 880 fr. (art. 20 al. 1 TFIP [Tarif des frais de procédure et indemnités en matière pénale du 28 septembre 2010; RSV 312.03.1]), seront laissés à la charge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de classement du 12 mai 2015 est annulée. III. Le dossier de la cause est renvoyé au Ministère public de l’arrondissement de Lausanne pour qu’il procède dans le sens des considérants. IV. Les frais d’arrêt, par 880 fr. (huit cent huitante francs), sont laissés à la charge de l’Etat. V. Le présent arrêt est exécutoire. Le président : La greffière :</w:t>
      </w:r>
    </w:p>
    <w:p>
      <w:r>
        <w:t>- 9 - Du Le présent arrêt, dont la rédaction a été approuvée à huis clos, est notifié, par l'envoi d'une copie complète, à : - Mme M.________, - Mme Marianne de Meuron (pour J.________)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