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PE14.021013 vom 24. November 2015</w:t>
      </w:r>
    </w:p>
    <w:p>
      <w:r>
        <w:t>VD Tribunal cantonal, 2015-11-24, FR</w:t>
      </w:r>
    </w:p>
    <w:p>
      <w:r>
        <w:rPr>
          <w:b/>
        </w:rPr>
        <w:t xml:space="preserve">Quelle: </w:t>
      </w:r>
      <w:r>
        <w:t>https://mcp.opencaselaw.ch/entscheid/vd_gerichte_PE14.021013</w:t>
      </w:r>
    </w:p>
    <w:p>
      <w:r>
        <w:t>FR: VD_GERICHTE PE14.021013 du 24 novembre 2015</w:t>
      </w:r>
    </w:p>
    <w:p>
      <w:r>
        <w:t>IT: VD_GERICHTE PE14.021013 del 24 novembre 2015</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(cf. ATF 140 IV 202 consid. 2.2, SJ 2015 I 73 ; ATF 139 IV 113, JdT 2014 IV 30 ; CREP 2 juillet 2015/ 455; CREP 4 février 2015/90).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en temps utile (art. 396 al. 1 CPP) par le prévenu qui a qualité pour recourir (art. 382 al. 1 CPP), le recours est recevable.</w:t>
      </w:r>
    </w:p>
    <w:p>
      <w:r>
        <w:rPr>
          <w:b/>
        </w:rPr>
        <w:t>E. 2.1</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w:t>
      </w:r>
    </w:p>
    <w:p>
      <w:r>
        <w:t>- 5 -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w:t>
      </w:r>
    </w:p>
    <w:p>
      <w:r>
        <w:t>- 6 -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consid. 5.2; ATF 128 I 225 consid. 2.5.2; CREP 3 août 2011/291).</w:t>
      </w:r>
    </w:p>
    <w:p>
      <w:r>
        <w:rPr>
          <w:b/>
        </w:rPr>
        <w:t>E. 2.2</w:t>
      </w:r>
    </w:p>
    <w:p>
      <w:r>
        <w:t>En l’espèce, le recourant est prévenu de violation simple des règles de la circulation routière et de contrainte. Au vu de ces faits, on ne saurait considérer qu’il encourt une peine privative de liberté de plus d’un an ou une mesure entraînant une privation de liberté. On ne se trouve donc pas dans un cas de défense obligatoire. Le recourant ne le soutient du reste pas. Quant à savoir si l’affaire est de peu de gravité, il n’apparaît pas davantage que le recourant soit passible d’une peine privative de liberté de plus de quatre mois, d’une peine pécuniaire de plus de 120 jours-amende ou d’un travail d’intérêt général de plus de 480 heures, ce d’autant qu’il n’a pas d’antécédent pénal. A cet égard, on peut se référer à la peine prononcée par l’ordonnance pénale réprimant les mêmes faits, qui constitue un indice quant à la peine susceptible d’être prononcée (TF 1B_138/2015 du 1er juillet 2015 consid. 2.2 in fine). Or la peine prononcée par le Procureur est très éloignée du minimum prévu par l’art. 132 al. 3 CPP. Il s’agit ainsi assurément d’un cas bagatelle. Par ailleurs, on ne saurait admettre que l’affaire présente objectivement, sur le plan des faits ou du droit, des difficultés que le prévenu ne pourrait pas surmonter seul. Les faits paraissent matériellement établis, notamment par les déclarations des conducteurs</w:t>
      </w:r>
    </w:p>
    <w:p>
      <w:r>
        <w:t>- 7 - recueillies par la police (PV aud. 1 et 2), qu’il appartiendra au Tribunal de police d’apprécier. La principale notion de droit à trancher est celle de la contrainte au sens de l’art. 181 CP (Code pénal; RS 311.0), à apprécier au regard du concours éventuel d’infractions au sens de l’art. 49 al. 1 CP. On ne voit guère, contrairement à ce que fait plaider le recourant, en quoi la question de l’application éventuelle de l’art. 218 CPP, qui a pour objet les conditions de la licéité de l’arrestation provisoire d’un particulier lorsque l'aide de la police ne peut être obtenue à temps, poserait des problèmes particuliers. Peu importe à cet égard qu’il s’agisse d’une norme rarement appliquée, la jurisprudence en la matière étant dès lors de peu d’ampleur. Enfin, comme le relève le recourant, l’autre conducteur impliqué dans le complexe de faits a déjà été condamné à raison de ceux-ci. Il n’est donc susceptible d’être entendu que comme témoin dans le procès dirigé contre le recourant. Partant, celui-ci n’aura pas à opposer sa version à celle de celui-là comparaissant comme co-prévenu. La cause paraît dès lors des plus simples.</w:t>
      </w:r>
    </w:p>
    <w:p>
      <w:r>
        <w:rPr>
          <w:b/>
        </w:rPr>
        <w:t>E. 2.3</w:t>
      </w:r>
    </w:p>
    <w:p>
      <w:r>
        <w:t>L’une des conditions cumulatives de la défense d’office faisant défaut, il n’y a pas lieu d’examiner la seconde, soit l’indigence du recourant (art. 132 al. 1 let. b CPP).</w:t>
      </w:r>
    </w:p>
    <w:p>
      <w:r>
        <w:rPr>
          <w:b/>
        </w:rPr>
        <w:t>E. 2.4</w:t>
      </w:r>
    </w:p>
    <w:p>
      <w:r>
        <w:t>Au vu de ce qui précède, l’assistance d’un avocat n’est pas nécessaire à la sauvegarde des intérêts du recourant au sens de l’art. 132 al. 2 et 3 CPP, de sorte que c’est à juste titre que la direction de la procédure du tribunal pénal de première instance lui a refusé la désignation d’un défenseur d’office.</w:t>
      </w:r>
    </w:p>
    <w:p>
      <w:r>
        <w:rPr>
          <w:b/>
        </w:rPr>
        <w:t>E. 3</w:t>
      </w:r>
    </w:p>
    <w:p>
      <w:r>
        <w:t>En définitive, le recours doit être rejeté sans autre échange d’écritures (art. 390 al. 2 CPP) et le prononcé attaqué confirmée.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w:t>
      </w:r>
    </w:p>
    <w:p>
      <w:r>
        <w:t>- 8 - Par ces motifs, la Chambre des recours pénale prononce : I. Le recours est rejeté. II. Le prononcé du 10 novembre 2015 est confirmé. III. Les frais du présent arrêt, par 660 fr. (six cent soixante francs), sont mis à la charge de L.________. IV. Le présent arrêt est exécutoire. Le président: Le greffier : Du Le présent arrêt, dont la rédaction a été approuvée à huis clos, est notifié, par l'envoi d'une copie complète, à : - Me Roberto Izzo, avocat (pour L.________), - Ministère public central, et communiqué à : - Mme la Présidente du Tribunal de l’arrondissement de La Côte,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