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PE14.020405 vom 9. März 2016</w:t>
      </w:r>
    </w:p>
    <w:p>
      <w:r>
        <w:t>VD Tribunal cantonal, 2016-03-09, FR</w:t>
      </w:r>
    </w:p>
    <w:p>
      <w:r>
        <w:rPr>
          <w:b/>
        </w:rPr>
        <w:t xml:space="preserve">Quelle: </w:t>
      </w:r>
      <w:r>
        <w:t>https://mcp.opencaselaw.ch/entscheid/vd_gerichte_PE14.020405</w:t>
      </w:r>
    </w:p>
    <w:p>
      <w:r>
        <w:t>FR: VD_GERICHTE PE14.020405 du 9 mars 2016</w:t>
      </w:r>
    </w:p>
    <w:p>
      <w:r>
        <w:t>IT: VD_GERICHTE PE14.020405 del 9 marzo 2016</w:t>
      </w:r>
    </w:p>
    <w:p>
      <w:pPr>
        <w:pStyle w:val="Heading2"/>
      </w:pPr>
      <w:r>
        <w:t>Erwägungen</w:t>
      </w:r>
    </w:p>
    <w:p>
      <w:r>
        <w:rPr>
          <w:b/>
        </w:rPr>
        <w:t>E. 4.1</w:t>
      </w:r>
    </w:p>
    <w:p>
      <w:r>
        <w:t>L’appelante V.________ fait valoir qu’elle n’est pas coauteur de cette infraction.</w:t>
      </w:r>
    </w:p>
    <w:p>
      <w:r>
        <w:rPr>
          <w:b/>
        </w:rPr>
        <w:t>E. 4.2</w:t>
      </w:r>
    </w:p>
    <w:p>
      <w:r>
        <w:t>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la réalisation de ‘infraction. La seule volonté de l’acte ne suffit pas ;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final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w:t>
      </w:r>
    </w:p>
    <w:p>
      <w:r>
        <w:t>- 20 -</w:t>
      </w:r>
    </w:p>
    <w:p>
      <w:r>
        <w:rPr>
          <w:b/>
        </w:rPr>
        <w:t>E. 4.3</w:t>
      </w:r>
    </w:p>
    <w:p>
      <w:r>
        <w:t>En l’espèce, la prévenue a eu un rôle déterminant, en remplissant les formulaires puis en étant le porte-parole de son père, de sorte qu’il y a lieu de retenir qu’elle est coauteur de tentative d’escroquerie. Il y a ainsi lieu de confirmer la condamnation des deux appelants pour tentative d’escroquerie pour la période allant du 1er octobre 2012, date retenue par le premier juge, à la décision de refus d’allocation pour impotent le 27 mai 2013. En outre, l’art. 87 LAVS étant subsidiaire à l’art. 146 CP, il n’y a pas lieu de retenir d’infraction à cette disposition pour cette période.</w:t>
      </w:r>
    </w:p>
    <w:p>
      <w:r>
        <w:rPr>
          <w:b/>
        </w:rPr>
        <w:t>E. 5</w:t>
      </w:r>
    </w:p>
    <w:p>
      <w:r>
        <w:t>Les appelants contestent avoir violé l’art. 87 LAVS.</w:t>
      </w:r>
    </w:p>
    <w:p>
      <w:r>
        <w:rPr>
          <w:b/>
        </w:rPr>
        <w:t>E. 5.1</w:t>
      </w:r>
    </w:p>
    <w:p>
      <w:r>
        <w:t>En l’espèce, les prévenus ont, dans le cadre de la procédure tendant à la révision de la rente AI, caché le fait que B.________ pouvait effectuer seul les actes de la vie quotidienne et ils ont tu des informations sur l’état de santé réel de l’assuré. En effet, l’OAI a confié un mandat de surveillance à [...], qui a été réalisé durant six jours entre le 3 février et le 7 avril 2014. Il ressort du rapport d’observation du 16 avril 2014 (P. 4/1/14) que lors de la première matinée d’observation, l’assuré est sorti seul de chez lui, s’est installé dans sa voiture garée à cent-cinquante mètres de chez lui et s’est rendu dans une zone industrielle afin d’y laver son véhicule. Il a notamment nettoyé l’habitacle de la voiture avec un aspirateur et un chiffon ainsi que l’extérieur du véhicule avec un jet à haute pression, avant de regagner son domicile. En début d’après-midi, l’assuré a quitté le domicile en compagnie de son épouse et tous deux se sont rendus dans divers centres commerciaux. Le détective a constaté que durant environ cinquante minutes, l’assuré était allé seul dans plusieurs magasins pour y regarder des articles proposés et qu’il avait conduit son véhicule pour le retour. Lors du troisième jour d’observation, l’assuré a à nouveau été observé au volant de sa voiture se rendant dans un centre commercial. Un lot de photographies extraites de vidéos tournées par le détective et montrant</w:t>
      </w:r>
    </w:p>
    <w:p>
      <w:r>
        <w:t>- 21 - l’assuré dans les situations décrites dans le rapport était également joint à celui-ci. L’OAI a effectué de manière aléatoire cinq jours d’observation complémentaire de l’assuré, entre les 16 mai et 17 juillet 2014. Dans son rapport d’observation du 22 juillet 2014, l’autorité a notamment relevé que le 16 mai 2014, l’assuré, son épouse et un enfant en bas âge se sont rendus en voiture dans un centre commercial. Le 19 mai 2014, l’assuré a notamment été vu au volant de sa voiture se rendre dans une station- service pour y faire le plein. Il a aussi été observé au volant d’une jeep [...], dont il a également fait un plein. Il semble aussi qu’il ait amené ce véhicule à un contrôle d’expertise. Le même jour, il est allé dans un centre commercial en compagnie de son épouse et il a été vu lorsqu’il quittait son immeuble à pied en direction du centre-ville. Le 20 mai 2014, l’assuré s’est rendu dans un magasin au volant de sa voiture. Il a en outre été vu en compagnie de son épouse et d’un jeune homme flânant dans un centre commercial de [...], et en train d’effectuer diverses manipulations dans le coffre de sa voiture. Le 16 juillet 2014, l’OAI a notamment relevé plusieurs allers-retours de l’assuré en voiture et a constaté que ce dernier, alors qu’il allait faire des courses avec son épouse, avait effectué diverses manipulations sur son véhicule, comme réparer le phare arrière depuis le coffre. Le 17 juillet 2014, l’assuré a été observé alors qu’il se rendait en voiture avec son épouse faire des courses. Dans le courant de l’après-midi, les époux [...] sont partis à pied depuis leur domicile, apparemment pour aller se promener. Suite à ces surveillances, l’Office AI a convoqué le prévenu pour un entretien, auquel ce dernier s’est rendu avec sa fille (P. 4/1/16). Lors de cet entretien du 19 août 2014, l’attitude d’B.________ était une fois encore en contradiction totale avec les constations faites à son insu sur le terrain; il s’est en effet montré incapable de parler, avait le regard figé dans le vide, se levait de sa chaise par instant en respirant bruyamment. V.________ a expliqué que le quotidien de son père se faisait par alternance avec des moments où il allait bien et d’autres durant lesquels il était mal.</w:t>
      </w:r>
    </w:p>
    <w:p>
      <w:r>
        <w:t>- 22 - Il s’avère ainsi qu’à chaque fois qu’il a été observé à son insu, B.________ a adopté un comportement diamétralement opposé à celui décrit par sa famille et par les médecins, qui ne correspond nullement à celui d’une personne souffrant d’un trouble dépressif sévère, comme en attestent les experts de la PMU. Les contradictions sont également flagrantes s’agissant de l’attitude du recourant envers les tiers : lorsqu’il se trouve dans les bureaux de l’OAI ou devant un médecin, il est décrit comme une personne « se déplaçant lentement, trainant la jambe, mutique ou parlant d’une voix monocorde et très faible, le regard figé dans le vide, les mains jointes, respirant bruyamment » et dont les troubles psychiatriques sont accompagnés par une aboulie et un apragmatisme. Or lorsqu’il est observé à son insu, l’assuré se déplace sans difficultés, porte des sacs de commissions ou une nacelle de bébé, procède à de menues réparations sur sa voiture, conduit celle-ci, la nettoie, se promène seul dans la rue ou dans les magasins et interagit tout à fait normalement avec son entourage et des tiers, ce qui semble de surcroît peu compatible avec un trouble d’aboulie. Il est difficile de croire à une coïncidence, à savoir qu’à chaque fois qu’un examen médical ou un entretien avec l’OAI devait être effectué, l’assuré se trouvait dans une phase dépressive sévère mais que par contre, lors des observations, il traversait à chaque fois une phase de mieux-être. Cela d’autant plus que selon la fille du recourant, lorsque ce dernier était considéré comme allant bien, il répondait par un simple et unique petit mot, moyennement audible mais compréhensible, et que généralement il ne le faisait pas (P. 4/1/9). Or cette description est totalement contredite par les observations réalisées.</w:t>
      </w:r>
    </w:p>
    <w:p>
      <w:r>
        <w:rPr>
          <w:b/>
        </w:rPr>
        <w:t>E. 5.2</w:t>
      </w:r>
    </w:p>
    <w:p>
      <w:r>
        <w:t>En l’occurrence, le comportement décrit ci-dessus tombe sous le coup de l’art. 87 LAVS qui réprime en particulier le comportement de celui qui aura manqué à son obligation de communiquer, l’art. 31 al. 1 LPGA disposant que l’ayant droit, ses proches ou les tiers auxquels une prestation est versée sont tenus de communiquer à l’assureur ou, selon les cas, à l’organe compétent toute modification importante des circonstances déterminantes pour l’octroi d’une prestation. Or, les scènes filmées dès 2012 et le comportement du prévenu sur ces vidéos constituent indiscutablement une modification des circonstances qui</w:t>
      </w:r>
    </w:p>
    <w:p>
      <w:r>
        <w:t>- 23 - avaient dicté l’octroi de la rente complète en 2006, sur la base notamment du rapport d’expertise (P. 4/3). Les constatations cliniques de ce rapport sont en effet bien divergentes des scènes de vies quotidiennes fixées par l’objectif du détective. C’est ainsi à raison que B.________ a été reconnu coupable d’infraction à la LAVS par les premiers juges. Il ne fait au surplus aucun doute que sa fille V.________ a agi comme coauteur de son père puisqu’elle a collaboré intentionnellement et d’une manière absolument déterminante à l’organisation, à la préparation et à l’exécution de cette infraction. La période concernée par cette seconde infraction s’étend du 28 mai 2013, soit du lendemain du jour où la décision de refus d’allocation pour impotent a été prononcée, au 31 août 2014, date à partir de laquelle la rente AI a été supprimée par voie de mesures provisionnelles à la suite de la décision de l’OAI du 21 août 2014.</w:t>
      </w:r>
    </w:p>
    <w:p>
      <w:r>
        <w:rPr>
          <w:b/>
        </w:rPr>
        <w:t>E. 6</w:t>
      </w:r>
    </w:p>
    <w:p>
      <w:r>
        <w:t>La culpabilité de B.________ et de V.________ est importante. On ne saurait prendre à la légère le fait de tromper pendant plusieurs années les assurances sociales pour tenter d’obtenir des prestations indues et de ne pas annoncer de changements de circonstances. En ce qui concerne l’appelant, on retiendra que sa culpabilité dans le déroulement de cette tromperie est manifestement plus importante que celle de sa fille. V.________ s’est malgré tout associée dans cette entreprise en toute connaissance de cause. Son rôle est certes moindre que celui de son père, mais il était nécessaire. On retiendra que malgré les évidences et les films qui leur ont été soumis, les prévenus ont persisté dans leurs déclarations alors mêmes qu’elles étaient en parfaites contradiction avec les images. Enfin, leur comportement s’est inscrit sur une longue période. A décharge, on tiendra compte du fait qu’ils n’ont pas forcément eu affaire à des médecins traitants particulièrement curieux, cet élément ayant peut-être favorisé, dans une moindre mesure, la réalisation de l’infraction.</w:t>
      </w:r>
    </w:p>
    <w:p>
      <w:r>
        <w:t>- 24 - Enfin, s’agissant de V.________, il sera fait application de l’art. 26 CP qui stipule que si la punissabilité est fondée ou aggravée en raison d’un devoir particulier de l’auteur, la peine est atténuée à l’égard du participant qui n’était pas tenu à ce devoir. C’est en effet son père qui, en tant que bénéficiaire des prestations, était tenu en premier lieu au devoir d’information. En conséquence et même si la période durant laquelle les infractions ont été commises est quelque peu inférieure à celle retenue par le tribunal de première instance, la peine de 180 jours-amende à 10 fr. avec sursis durant deux ans infligée par les premiers juges à B.________ et celle de 150 jours-amende à 20 fr. avec sursis pendant deux ans infligée à V.________ sont adéquates et correspondent aux principes de l’art. 47 CP. Ces peines doivent être confirmées.</w:t>
      </w:r>
    </w:p>
    <w:p>
      <w:r>
        <w:rPr>
          <w:b/>
        </w:rPr>
        <w:t>E. 7</w:t>
      </w:r>
    </w:p>
    <w:p>
      <w:r>
        <w:t>L’appelant affirme que le montant de 12'970 fr. de frais de détective ne saurait être mis à sa charge et qu’en outre il ne peut pas y avoir de solidarité entre les deux prévenus. Dans le cadre de sa plainte pénale, l’OAI a demandé le remboursement de ces frais de détective privé et a produit les factures acquittées relatives à cette activité. En l’espèce, il incombe aux organes de l’AI de vérifier si les conditions d’octroi de rentes sont remplies. Une de leurs tâches est en effet d’évaluer l’invalidité et l’impotence, donnant le cas échéant droit à une rente ou à une allocation pour impotent (art. 57 al. 1 let. ae LAI). Aux termes de l’art. 59 al. 5 LAI, les offices AI peuvent faire appel à des spécialistes pour lutter contre la perception indue de prestations, ce par quoi il faut entendre notamment des détectives privés. En outre, l’art. 45 LPGA (Loi fédérale sur la partie générale des assurances sociales ; RS 830.1) dispose que les frais d’instruction sont pris en charge par l’assureur. L’alinéa 3 de cet article prévoit une sommation pour mettre les frais à la charge de la partie qui empêche ou entrave l’instruction.</w:t>
      </w:r>
    </w:p>
    <w:p>
      <w:r>
        <w:t>- 25 - Il apparaît ainsi que les frais de détective font partie du budget de fonctionnement de l’Office et qu’ils ne peuvent pas être mis à la charge de l’assuré et de sa fille, faute de sommation. Partant, l’appel doit être admis sur ce point.</w:t>
      </w:r>
    </w:p>
    <w:p>
      <w:r>
        <w:rPr>
          <w:b/>
        </w:rPr>
        <w:t>E. 8</w:t>
      </w:r>
    </w:p>
    <w:p>
      <w:r>
        <w:t>En définitive, les appels de B.________ et de V.________ doivent être partiellement admis et le jugement du Tribunal de police de l’arrondissement de la Broye et du Nord vaudois réformé dans le sens des considérants qui précèdent. Vu le sort de la procédure, les frais d’appel, comprenant l’émolument du jugement, par 2’160 fr. (art. 21 al. 1 TFIP [Tarif des frais de procédure et indemnités en matière pénale du 28 septembre 2010 ; RSV 312.03.1]), doivent être mis par ¼, soit 540 fr., à la charge de B.________, par ¼, soit 540 fr., à la charge de V.________, le solde, par 1'080 fr., étant laissé à la charge de l’Etat (art. 428 al.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