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PE14.020403 vom 1. Juni 2016</w:t>
      </w:r>
    </w:p>
    <w:p>
      <w:r>
        <w:t>VD Tribunal cantonal, 2016-06-01, FR</w:t>
      </w:r>
    </w:p>
    <w:p>
      <w:r>
        <w:rPr>
          <w:b/>
        </w:rPr>
        <w:t xml:space="preserve">Quelle: </w:t>
      </w:r>
      <w:r>
        <w:t>https://mcp.opencaselaw.ch/entscheid/vd_gerichte_PE14.020403</w:t>
      </w:r>
    </w:p>
    <w:p>
      <w:r>
        <w:t>FR: VD_GERICHTE PE14.020403 du 1 juin 2016</w:t>
      </w:r>
    </w:p>
    <w:p>
      <w:r>
        <w:t>IT: VD_GERICHTE PE14.020403 del 1 giugno 2016</w:t>
      </w:r>
    </w:p>
    <w:p>
      <w:pPr>
        <w:pStyle w:val="Heading2"/>
      </w:pPr>
      <w:r>
        <w:t>Erwägungen</w:t>
      </w:r>
    </w:p>
    <w:p>
      <w:r>
        <w:rPr>
          <w:b/>
        </w:rPr>
        <w:t>E. 1</w:t>
      </w:r>
    </w:p>
    <w:p>
      <w:r>
        <w:t>A.________ est né en 1971. Il est divorcé d’avec Z.________ et père de deux enfants. En 1998 - 1999, il a été employé au département négoce international du [...]. De 1999 à 2004, il a travaillé pour [...] SA, filiale du groupe [...], comme sous-directeur en charge du département clientèle. De 2004 à 2007, il a été administrateur délégué d’ [...] SA à Lausanne. De 2007 à 2010, il a été employé comme gestionnaire de fortune par la banque privée [...]. De 2010 à 2012, il a travaillé pour K.________SA en qualité de gérant de fortune. Il résulte du casier judiciaire d’A.________ qu’il a été condamné, le 15 avril 2011, par le Ministère public de l’arrondissement de Lausanne, pour conduite d’un véhicule automobile en état d’ébriété qualifiée, à une peine pécuniaire de 18 jours-amende à 100 fr. le jour, avec sursis pendant trois ans, et à une amende de 1'200 francs.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- 12 -</w:t>
      </w:r>
    </w:p>
    <w:p>
      <w:r>
        <w:rPr>
          <w:b/>
        </w:rPr>
        <w:t>E. 3.1</w:t>
      </w:r>
    </w:p>
    <w:p>
      <w:r>
        <w:t>L’appelant conclut à son acquittement de l’infraction de violation d’une obligation d’entretien.</w:t>
      </w:r>
    </w:p>
    <w:p>
      <w:r>
        <w:rPr>
          <w:b/>
        </w:rPr>
        <w:t>E. 3.2</w:t>
      </w:r>
    </w:p>
    <w:p>
      <w:r>
        <w:t>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t>- 13 - Du point de vue subjectif, l’infraction est intentionnelle ; le dol éventuel suffit (ATF 76 IV 109 consid. 5 ; TF 6B_514/2011 du 26 octobre 2011 consid. 1.3.1).</w:t>
      </w:r>
    </w:p>
    <w:p>
      <w:r>
        <w:rPr>
          <w:b/>
        </w:rPr>
        <w:t>E. 3.3.1</w:t>
      </w:r>
    </w:p>
    <w:p>
      <w:r>
        <w:t>En l’espèce, il est constant que le prévenu n’a pas versé pour ses filles, du 1er août 2014 jusqu’au 12 janvier 2016, inclusivement, les contributions d’entretien prévues dans le jugement de divorce, sous réserve d’un versement de 400 francs.</w:t>
      </w:r>
    </w:p>
    <w:p>
      <w:r>
        <w:rPr>
          <w:b/>
        </w:rPr>
        <w:t>E. 3.3.2</w:t>
      </w:r>
    </w:p>
    <w:p>
      <w:r>
        <w:t>L’appelant soutient que, même avec le revenu hypothétique de 7'000 fr. par mois retenu par le premier juge, il aurait été dans l’impossibilité de s’acquitter de l’entier des pensions dues. Le raisonnement de l’appelant tombe à faux. En effet, comme mentionné ci-dessus, il est un fait qu’il n’a plus rien versé à ses enfants depuis le 1er août 2014, sous réserve d’un montant de 400 francs. On ne reproche donc pas à l’appelant d’avoir versé une contribution partielle, dans la mesure de ses moyens. Cet argument n’est dès lors pas pertinent.</w:t>
      </w:r>
    </w:p>
    <w:p>
      <w:r>
        <w:rPr>
          <w:b/>
        </w:rPr>
        <w:t>E. 3.3.3</w:t>
      </w:r>
    </w:p>
    <w:p>
      <w:r>
        <w:t>L'appelant soutient que l'appréciation du premier juge selon laquelle il est resté inactif fautivement entre avril 2012 et fin juillet 2014 est erronée. Il soutient en particulier qu'il n'aurait eu aucune raison entre avril 2012 et début juillet 2014 de chercher une autre activité que celle de courtier indépendant, vu qu'elle était rentable. Ce serait la faillite de la banque [...] qui l'aurait privé de revenus. Cet argument ne peut pas être suivi. En effet, selon les propres termes de l'appelant (cf. jgmt, p. 9), le montant de 200'000 fr., constituant son avoir de prévoyance professionnelle qu'il a retiré au mois d’août 2013, a servi à payer les contributions d'entretien et les frais divers, jusqu'au mois d'août 2014, où il n'avait plus de quoi vivre. En d'autres termes, l'appelant n'a dégagé aucun revenu de son activité d'indépendant. Il s'ensuit que l'appréciation du premier juge, selon laquelle « d'avril 2012 à</w:t>
      </w:r>
    </w:p>
    <w:p>
      <w:r>
        <w:t>- 14 - fin juillet 2014, il (l'appelant) a toutefois eu amplement le temps de constater l'échec de ces éventuelles démarches » (jgmt, p. 17), est pertinente. On voit du même coup que ce n'est pas la faillite de la banque précitée qui est la cause de la déconfiture de l'appelant. Au reste, on ne voit pas très bien pourquoi des clients de cette banque, si tant est que l'appelant en avait, ne seraient pas restés avec lui pour la gestion de leur fortune. Quant aux offres d'emploi, qui se résument au dépôt d'un dossier auprès d'une agence de placement (P. 6 du bordereau d'appel) et à des offres informelles, elles sont largement insuffisantes pour admettre que l'appelant a fait tout son possible pour retrouver un travail. Comme le relève également le premier juge, il est impossible de penser que l'appelant a jeté les pièces prouvant une recherche d'emploi, alors même qu'il déposait, au mois de janvier 2015, une procédure en modification de son jugement de divorce. La problématique est similaire au civil qu'au pénal, lorsqu'il s'agit de vérifier la capacité économique du débirentier, et il est certain que l'avocat a attiré l'attention de son client sur l'importance de ces preuves. Ainsi, si l'appelant n'est pas en mesure de prouver, par pièces, qu'il a recherché un emploi après le mois de juillet 2014, c'est qu'il ne l'a pas fait ou du moins pas sérieusement. On ne saurait donc considérer que l’intéressé a rempli ses obligations à l’époque où il devait les remplir, respectivement qu’il a fait les efforts pouvant raisonnablement être exigés de lui.</w:t>
      </w:r>
    </w:p>
    <w:p>
      <w:r>
        <w:rPr>
          <w:b/>
        </w:rPr>
        <w:t>E. 3.4</w:t>
      </w:r>
    </w:p>
    <w:p>
      <w:r>
        <w:t>En conclusion, l'appelant a fautivement renoncé à des gains nécessaires pour le paiement de ses obligations alimentaires, en ne fournissant pas les efforts pouvant raisonnablement être exigés de lui, afin de réaliser un revenu lui permettant de payer, à tout le moins en partie, les contributions d'entretien dues. Il s’ensuit que la condamnation d'A.________ pour violation d’une obligation d’entretien est conforme au droit fédéral. Une éventuelle modification du jugement de divorce ne changerait en rien cette appréciation. En effet, le juge de l'action en modification de jugement de divorce peut fixer le moment à partir duquel son jugement prend effet selon son appréciation et en tenant compte des circonstances du cas concret. En principe, la jurisprudence retient, au plus tôt, la date du dépôt de la demande (De Luze/Page/Stoudmann, Droit de la</w:t>
      </w:r>
    </w:p>
    <w:p>
      <w:r>
        <w:t>- 15 - famille, 2013, n 1.32 ad art. 129 CC). Point n'est ainsi besoin d'attendre l'issue des procédures civiles en cours, puisque, même à supposer que celle-ci soit favorable à l'appelant, la modification ne pourrait avoir aucun effet sur la période concernée par la violation d’une obligation d’entretien.</w:t>
      </w:r>
    </w:p>
    <w:p>
      <w:r>
        <w:rPr>
          <w:b/>
        </w:rPr>
        <w:t>E. 4.1</w:t>
      </w:r>
    </w:p>
    <w:p>
      <w:r>
        <w:t>L’appelant conteste la quotité de sa peine, ainsi que le montant du jour-amende.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4.2.2</w:t>
      </w:r>
    </w:p>
    <w:p>
      <w:r>
        <w:t>Aux termes de l’art. 34 al. 2 CP, le jour-amende est de 3'000 fr. au plus. Le juge en fixe le montant selon la situation personnelle et économique de l'auteur au moment du jugement, notamment en tenant</w:t>
      </w:r>
    </w:p>
    <w:p>
      <w:r>
        <w:t>- 16 -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Si l'auteur renonce volontairement à travailler ou à être mieux rémunéré, le juge prend en compte le revenu présumé que l'on est en droit d'attendre de lui ou celui qu'il réalisait avant l'infraction (ATF 134 IV 60 consid. 6.1).</w:t>
      </w:r>
    </w:p>
    <w:p>
      <w:r>
        <w:rPr>
          <w:b/>
        </w:rPr>
        <w:t>E. 4.3.1</w:t>
      </w:r>
    </w:p>
    <w:p>
      <w:r>
        <w:t>Par adoption de motifs (art. 82 al. 4 CPP), la Cour de céans considère que la peine pécuniaire de 90 jours-amende prononcée par le tribunal de première instance est adéquate, compte tenu de l'infraction commise et des éléments à charge et à décharge exposés de manière circonstanciée et exhaustive par cette autorité (cf. jgmt, p. 18). En outre, il n'y a pas lieu de renoncer à fixer une peine à l'appelant pour tenir compte de l'impact de celle-ci sur son avenir. Il n'y a en effet aucune raison de lui réserver un traitement de faveur, que ce soit sous l'angle du principe général "nil nocere", selon lequel la sanction ne doit pas porter atteinte plus que de raison au condamné et qui ne permet toutefois que des corrections marginales et non une refonte complète de la peine comme le voudrait l’appelant, ou sous celui de l'art. 52 CP, dont les conditions ne sont à l'évidence pas remplies.</w:t>
      </w:r>
    </w:p>
    <w:p>
      <w:r>
        <w:t>- 17 -</w:t>
      </w:r>
    </w:p>
    <w:p>
      <w:r>
        <w:rPr>
          <w:b/>
        </w:rPr>
        <w:t>E. 4.3.2</w:t>
      </w:r>
    </w:p>
    <w:p>
      <w:r>
        <w:t>Il reste à examiner la quotité du jour-amende. A cet égard, on peut tenir compte d'un revenu hypothétique de 7'000 fr. net, qui, quoi qu'en dise l'appelant, lui est extrêmement favorable, au vu des revenus dégagés lorsqu'il était salarié. De ce revenu, on déduit le minimum vital de l’appelant (1'300 fr.), les frais d’entretien de base des deux enfants (2 x 600 fr.) et les primes d’assurance-maladie (120 fr.). Les dettes privées et les frais de logement ne sont pas pris en compte. Dans ces conditions, la valeur du jour-amende pourrait être de 146 fr. [(7'000 fr. – 2'620 fr.)/30], soit un montant plus élevé que celui de 50 fr. retenu dans le jugement entrepris, même après déduction des charges hypothétiques d’impôt.</w:t>
      </w:r>
    </w:p>
    <w:p>
      <w:r>
        <w:rPr>
          <w:b/>
        </w:rPr>
        <w:t>E. 4.4</w:t>
      </w:r>
    </w:p>
    <w:p>
      <w:r>
        <w:t>Il résulte de l’ensemble des considérations qui précèdent que la quotité de la peine pécuniaire de 90 jours-amende et celle du jour- amende fixé à 50 fr., retenues par le premier juge, ne prêtent pas le flanc à la critique.</w:t>
      </w:r>
    </w:p>
    <w:p>
      <w:r>
        <w:rPr>
          <w:b/>
        </w:rPr>
        <w:t>E. 5</w:t>
      </w:r>
    </w:p>
    <w:p>
      <w:r>
        <w:t>Pour les motifs pertinents retenus par le premier juge, la peine pécuniaire prononcée peut être assortie du sursis, le délai d’épreuve étant fixé à deux ans.</w:t>
      </w:r>
    </w:p>
    <w:p>
      <w:r>
        <w:rPr>
          <w:b/>
        </w:rPr>
        <w:t>E. 6</w:t>
      </w:r>
    </w:p>
    <w:p>
      <w:r>
        <w:t>Compte tenu de la confirmation de sa condamnation, il n’y a pas matière à revoir la mise à la charge du prévenu des frais judiciaires de première instance (art. 426 al. 1 CPP).</w:t>
      </w:r>
    </w:p>
    <w:p>
      <w:r>
        <w:rPr>
          <w:b/>
        </w:rPr>
        <w:t>E. 7.1</w:t>
      </w:r>
    </w:p>
    <w:p>
      <w:r>
        <w:t>Dans un dernier moyen, l'appelant considère que la somme allouée à l'intimée au titre de l'art. 433 CPP est trop élevée.</w:t>
      </w:r>
    </w:p>
    <w:p>
      <w:r>
        <w:rPr>
          <w:b/>
        </w:rPr>
        <w:t>E. 7.2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w:t>
      </w:r>
    </w:p>
    <w:p>
      <w:r>
        <w:t>- 18 -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w:t>
      </w:r>
    </w:p>
    <w:p>
      <w:r>
        <w:rPr>
          <w:b/>
        </w:rPr>
        <w:t>E. 7.3</w:t>
      </w:r>
    </w:p>
    <w:p>
      <w:r>
        <w:t>En l’espèce, l'appelant s’en prend d'abord aux frais de la cause (art. 426 al. 1 CPP) en faisant valoir qu'il ne doit pas payer des frais de procédure à hauteur de 950 fr. 40 qui seraient relatifs à une plainte pour infraction contre l'honneur classée en raison du retrait de plainte de</w:t>
      </w:r>
    </w:p>
    <w:p>
      <w:r>
        <w:t>- 19 - l'intimée. Si l'on se réfère au dossier directeur et en particulier au procès- verbal de conciliation, on constate que l'appelant s'excuse auprès de la plaignante pour les propos dénigrants qu'il a formulés à son encontre. Il s'agit là d'une faute civile (art. 28 CC) qui justifiait que les frais de procédure soient mis à sa charge. Quoi qu'il en soit, on ne voit pas en quoi les frais de procédure relatifs à cette plainte pénale influent sur le montant de l'indemnité allouée à l'intimée au titre de l'art. 433 CP. S'agissant ensuite du montant alloué au titre de l'art. 433 CPP, on doit admettre avec l'appelant qu'il est trop élevé, étant précisé que le principe d'une indemnité n'est pas remis en question, l'appelant étant lui- même assisté. Comptée à 350 fr. l'heure, l'indemnité de 10'497 fr. 40 correspond environ à 30 heures de travail. C'est beaucoup trop, ne serait- ce que par comparaison avec la liste des opérations du défenseur d'office, qui a annoncé 9 heures. Certes, le mandat du défenseur d'office débute en mai 2016, alors que celui du conseil de l'intimée part du mois de septembre 2015. Une telle différence d'heures ne se justifie toutefois pas, au vu de l'activité du conseil de l'intimée durant cette période telle qu'elle ressort de ses listes d'opérations. Une activité de 12 heures paraît justifiée pour l'exercice raisonnable de la défense de la plaignante. L'indemnité serait ainsi réduite à 4'590 fr., correspondant à 12 heures d'activité à un tarif horaire de 350 fr., plus 50 de débours, plus la TVA. L'appel doit donc être admis dans cette mesure.</w:t>
      </w:r>
    </w:p>
    <w:p>
      <w:r>
        <w:rPr>
          <w:b/>
        </w:rPr>
        <w:t>E. 8</w:t>
      </w:r>
    </w:p>
    <w:p>
      <w:r>
        <w:t>En définitive, l’appel d’A.________ doit être partiellement admis et le jugement réformé dans le sens des considérants. Vu l’issue de la cause, les frais de la procédure d'appel seront mis à raison de deux tiers à la charge de l'appelant, le solde étant laissé à la charge de l’Etat. Outre l'émolument de jugement, qui se monte à 1'940 fr. (art. 21 al. 1 et 2 TFIP [Tarif des frais de procédure et indemnités en matière pénale du 28 septembre 2010; RSV 312.03.1]), ces frais comprennent l’indemnité allouée au défenseur d’office de l’appelant.</w:t>
      </w:r>
    </w:p>
    <w:p>
      <w:r>
        <w:t>- 20 - Me Silvia Gutierrez a produit une liste des opérations, dont il ressort un temps total de 13 heures 24. Cette durée est un peu trop élevée. Le temps consacré à l’étude du dossier, à la recherche juridique et à la préparation de l’audience, soit 4 heures, apparaît trop élevé, dès lors que le mandataire avait déjà pris connaissance du dossier en première instance. La durée de l'activité prévisible après l'audience d'appel a été surestimée. Le montant de l’indemnité doit ainsi être arrêté sur la base d’une durée d’activité utile du défenseur de 12 heures. C'est donc une indemnité de 2'516 fr. 40, correspondant à 12 heures d’activité à 180 fr., plus une vacation à 120 fr., plus 50 fr. de débours, plus la TVA, qui doit être allouée à Me Silvia Gutierrez pour la procédure d’appel. A.________ ne sera tenu de rembourser à l’Etat les deux tiers du montant de l'indemnité en faveur de son défenseur d’office que lorsque sa situation financière le permettra. Vu l’admission partielle de l’appel d’A.________, Z.________ a droit à une indemnité réduite à titre de juste indemnité pour les dépenses obligatoires occasionnées par la procédure d’appel. Au vu de la liste des opérations produites par son conseil, ce montant peut être arrêté à 2’000 fr., à la charge du prévenu. La Cour d’appel pénale, appliquant les art. 34, 42 al. 1, 44 al. 1, 47, 217 CP et 398 ss CPP, prononce : I. L’appel est partiellement admis. II. Le jugement rendu le 1er juin 2016 par le Tribunal de police de l’arrondissement de l’Est vaudois est modifié comme il suit au</w:t>
      </w:r>
    </w:p>
    <w:p>
      <w:r>
        <w:t>- 21 - chiffre VI de son dispositif, le dispositif du jugement étant désormais le suivant : "I. reçoit l’opposition formée par A.________ contre l’ordonnance pénale rendue le 7 décembre 2015 par le Ministère public de l’arrondissement de l’Est vaudois dans la cause PE14.020403; II. déclare A.________ coupable de violation d’une obligation d’entretien et le condamne à 90 jours-amende de 50 fr. avec sursis pendant deux ans; III. ordonne la destruction par le greffe, dès l’entrée en force du présent jugement, des pièces retranchées ce jour du dossier et qui resteront conservées dans l’intervalle dans une enveloppe fermée, annexée au dossier; IV. alloue à Me Siliva Gutierrez, défenseur d’office d’A.________, une indemnité de 2'120 fr.; V. arrête les frais de la cause à 3'545 fr., les met à la charge d’A.________ et dit que sur cette somme, le montant de 1'425 fr. pourra être recouvré immédiatement, tandis que le montant de 2'120 fr. correspondant à l’indemnité allouée à son défenseur d’office ne pourra être réclamée à A.________ que lorsque sa situation financière se sera effectivement améliorée; VI. condamne A.________ à payer une indemnité de 4'590 fr. à Z.________ en remboursement des frais qu’elle a engagés pour la défense raisonnable de ses droits de procédure ; VII. dit ne pas y avoir lieu à indemniser A.________ au titre de l’art. 429 CPP." III. Une indemnité de défenseur d'office pour la procédure d'appel d'un montant de 2'516 fr. 40, TVA et débours inclus, est allouée à Me Silvia Gutierrez.</w:t>
      </w:r>
    </w:p>
    <w:p>
      <w:r>
        <w:t>- 22 - IV.A.________ est débiteur de Z.________ d’un montant de 2'000 fr., TVA et débours inclus, à titre de juste indemnité pour les dépenses obligatoires occasionnées par la procédure d’appel. V. Les frais d'appel, par 4'456 fr. 40, y compris l'indemnité allouée au défenseur d'office, sont mis à raison de deux tiers à la charge d’A.________, le solde étant laissé à la charge de l’Etat. VI.A.________ ne sera tenu de rembourser à l’Etat les deux tiers du montant de l’indemnité en faveur de son défenseur d’office prévue au ch. III ci-dessus que lorsque sa situation financière le permettra. VII. Le jugement motivé est exécutoire. Le président : La greffière : Du Le jugement qui précède, dont le dispositif a été communiqué par écrit aux intéressés le 12 octobre 2016, est notifié, par l'envoi d'une copie complète, à : - Me Silvia Gutierrez, avocate (pour A.________), - Me Alain Dubuis, avocat (pour Z.________), - Me Sarah El-Abshihy, avocate (pour A.________), - Ministère public central, et communiqué à : - M. le Président du Tribunal de police de l'arrondissement de l’Est vaudois, - M. le Procureur de l'arrondissement de l’Est vaudois,</w:t>
      </w:r>
    </w:p>
    <w:p>
      <w:r>
        <w:t>- 23 -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