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PE14.020207 vom 23. Dezember 2014</w:t>
      </w:r>
    </w:p>
    <w:p>
      <w:r>
        <w:t>VD Tribunal cantonal, 2014-12-23, FR</w:t>
      </w:r>
    </w:p>
    <w:p>
      <w:r>
        <w:rPr>
          <w:b/>
        </w:rPr>
        <w:t xml:space="preserve">Quelle: </w:t>
      </w:r>
      <w:r>
        <w:t>https://mcp.opencaselaw.ch/entscheid/vd_gerichte_PE14.020207</w:t>
      </w:r>
    </w:p>
    <w:p>
      <w:r>
        <w:t>FR: VD_GERICHTE PE14.020207 du 23 décembre 2014</w:t>
      </w:r>
    </w:p>
    <w:p>
      <w:r>
        <w:t>IT: VD_GERICHTE PE14.020207 del 23 dicembre 2014</w:t>
      </w:r>
    </w:p>
    <w:p>
      <w:pPr>
        <w:pStyle w:val="Heading2"/>
      </w:pPr>
      <w:r>
        <w:t>Erwägungen</w:t>
      </w:r>
    </w:p>
    <w:p>
      <w:r>
        <w:rPr>
          <w:b/>
        </w:rPr>
        <w:t>E. 6.1</w:t>
      </w:r>
    </w:p>
    <w:p>
      <w:r>
        <w:t>Selon l’art. 23 al. 1 LCD, quiconque, intentionnellement, se rend coupable de concurrence déloyale au sens des art. 3, 4, 4a, 5 ou 6 est, sur plainte, puni d'une peine privative de liberté de trois ans au plus ou d'une peine pécuniaire.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(TF 6B_824/2007 du 17 avril 2008 c. 2.1.1 et la jurisprudence citée).</w:t>
      </w:r>
    </w:p>
    <w:p>
      <w:r>
        <w:rPr>
          <w:b/>
        </w:rPr>
        <w:t>E. 6.2</w:t>
      </w:r>
    </w:p>
    <w:p>
      <w:r>
        <w:t>En l’espèce, on ne voit pas en quoi le fait de signaler un cas à une autorité de surveillance constituerait un acte de concurrence déloyale au sens de l’art. 2 LCD, faute de quoi une telle autorité n’aurait pas lieu d’être. Le comportement de I.________ ne tombe dès lors pas sous le coup de l’art. 23 al. 1 LCD. Le recours doit donc également être rejeté sur ce point.</w:t>
      </w:r>
    </w:p>
    <w:p>
      <w:r>
        <w:rPr>
          <w:b/>
        </w:rPr>
        <w:t>E. 7</w:t>
      </w:r>
    </w:p>
    <w:p>
      <w:r>
        <w:t>Il résulte de ce qui précède que le recours doit être rejeté dans la mesure où il est recevable (cf. c. 3 supra) et l’ordonnance du 29 octobre 2014 confirmée.</w:t>
      </w:r>
    </w:p>
    <w:p>
      <w:r>
        <w:t>- 11 - Les frais de la procédure de recours, constitués du seul émolument d’arrêt, par 1’100 fr. (art. 20 al. 1 TFIP [Tarif des frais de procédure et indemnités en matière pénale du 28 septembre 2010, RSV 312.03.1]), seront mis à la charge du recourant, qui succombe (art. 428 al. 1 CPP). Par ces motifs, la Chambre des recours pénale prononce : I. Le recours est rejeté dans la mesure où il est recevable. II. L’ordonnance du 29 octobre 2014 est confirmée. III. Les frais de la procédure de recours, par 1'100 fr. (mille cent francs), sont mis à la charge de K.________. IV. Le présent arrêt est exécutoire. Le président : La greffière : Du Le présent arrêt, dont la rédaction a été approuvée à huis clos, est notifié, par l'envoi d'une copie complète, à : - Mme Yvonne Furler, avocate (pour K.________), - Ministère public central; et communiqué à : - M. le Procureur de l’arrondissement de La Côte,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