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PE14.019913 vom 9. März 2016</w:t>
      </w:r>
    </w:p>
    <w:p>
      <w:r>
        <w:t>VD Tribunal cantonal, 2016-03-09, FR</w:t>
      </w:r>
    </w:p>
    <w:p>
      <w:r>
        <w:rPr>
          <w:b/>
        </w:rPr>
        <w:t xml:space="preserve">Quelle: </w:t>
      </w:r>
      <w:r>
        <w:t>https://mcp.opencaselaw.ch/entscheid/vd_gerichte_PE14.019913</w:t>
      </w:r>
    </w:p>
    <w:p>
      <w:r>
        <w:t>FR: VD_GERICHTE PE14.019913 du 9 mars 2016</w:t>
      </w:r>
    </w:p>
    <w:p>
      <w:r>
        <w:t>IT: VD_GERICHTE PE14.019913 del 9 marzo 2016</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- 20 -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 prévenue conteste en premier lieu sa condamnation pour menaces dans les cas f, g, i, l et m ci-dessus (cas 4, 5, 7, 10 et 11 de l'acte d'accusation du 23 novembre 2015). Elle fait valoir que les propos tenus n’auraient pas le caractère de gravité suffisant pour alarmer les plaignants.</w:t>
      </w:r>
    </w:p>
    <w:p>
      <w:r>
        <w:rPr>
          <w:b/>
        </w:rPr>
        <w:t>E. 3.2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L'exigence d'une menace grave doit conduire à exclure la punissabilité lorsque le préjudice évoqué apparaît objectivement d'une importance trop limitée pour justifier la répression pénale (Corboz, Les infractions en droit suisse, Tome I,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w:t>
      </w:r>
    </w:p>
    <w:p>
      <w:r>
        <w:t>- 21 - parce que la menace peut aussi bien résulter d'un geste que d'une allusion (ATF 99 IV 212 consid. la).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w:t>
      </w:r>
    </w:p>
    <w:p>
      <w:r>
        <w:rPr>
          <w:b/>
        </w:rPr>
        <w:t>E. 3.3</w:t>
      </w:r>
    </w:p>
    <w:p>
      <w:r>
        <w:t>En l'espèce, il ne fait aucun doute que les menaces retenues par les premiers juges ont, en raison de leur contenu et du contexte délictueux, alarmé B.M.________ et T.________. La prévenue a utilisé des termes propres à effrayer une personne (cas f : en déclarant à l’encontre de T.________ « qu'elle crève », « que Dieu la punisse », « que tout cela allait mal se terminer » ; cas i : en déclarant à l'encontre de A.M.________ « qu'il allait payer pour le mal qu'il avait fait » ; cas l : en menaçant B.M.________ de s'en prendre à son fils, à défaut de pouvoir l'atteindre ; cas m : en menaçant B.M.________ qu'il allait payer pour ce qu'il lui avait fait). Ces propos s'inscrivant dans le contexte d'un harcèlement injurieux et haineux répété, les menaces apparaissent graves au sens de l'art. 180 al. 1 CP. Subjectivement, la prévenue a à l'évidence voulu faire peur aux plaignants qu'elle considérait comme responsables de ses problèmes.</w:t>
      </w:r>
    </w:p>
    <w:p>
      <w:r>
        <w:rPr>
          <w:b/>
        </w:rPr>
        <w:t>E. 4.1</w:t>
      </w:r>
    </w:p>
    <w:p>
      <w:r>
        <w:t>La prévenue conteste ensuite sa condamnation pour contrainte et tentative de contrainte. Son harcèlement à l'encontre de B.M.________ et T.________ n'atteindrait pas la gravité requise pour être qualifié de « stalking ».</w:t>
      </w:r>
    </w:p>
    <w:p>
      <w:r>
        <w:rPr>
          <w:b/>
        </w:rPr>
        <w:t>E. 4.2</w:t>
      </w:r>
    </w:p>
    <w:p>
      <w:r>
        <w:t>Aux termes de l'art. 181 CP, celui qui, en usant de violence envers une personne ou en la menaçant d'un dommage sérieux, ou en l'entravant de quelque autre manière dans sa liberté d'action, l'aura</w:t>
      </w:r>
    </w:p>
    <w:p>
      <w:r>
        <w:t>- 22 - obligée à faire, à ne pas faire ou à laisser faire un acte sera puni d'une peine privative de liberté de trois ans au plus ou d'une peine pécuniaire. Ainsi, l'art. 181 CP prévoit alternativement trois moyens de contrainte : l'usage de la violence, la menace d'un dommage sérieux ou tout acte entravant la personne dans sa liberté d'action. Les éléments constitutifs de contrainte au sens de cette disposition se distinguent sur ce point de l'infraction de « stalking » telle qu'elle se conçoit dans les ordres juridiques qui la connaissent. Cette dernière y est typiquement construite comme une infraction réprimant un ensemble d'actes, alors que la contrainte est liée à un résultat précis, étroitement défini dans l'espace et dans le temps (ATF 129 IV 262, JdT 2005 IV 207 consid. 2.4). Selon la jurisprudence, la contrainte prend la forme de « stalking » lorsque son auteur utilise un moyen de contrainte,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consid. 2a et les références). La formule générale visant réprimer l'auteur qui de « quelque autre manière » entrave sa victime dans sa liberté d'action, doit ainsi être interprétée de manière restrictive; n'importe quelle pression de peu d'importance ne suffit pas (ATF 129 IV 262, JdT 2005 IV 207 consid. 2.3). La contrainte doit être intentionnelle, en ce sens que l'auteur doit vouloir, par cette infraction, amener la victime à adopter le comportement voulu. Il importe en revanche peu que la contrainte ne soit qu'un moyen pour atteindre un autre but (Corboz, op. cit., n. 37 ad art. 181 CP).</w:t>
      </w:r>
    </w:p>
    <w:p>
      <w:r>
        <w:rPr>
          <w:b/>
        </w:rPr>
        <w:t>E. 4.3</w:t>
      </w:r>
    </w:p>
    <w:p>
      <w:r>
        <w:t>En l’espèce, c’est à juste titre que les premiers juges ont considéré que B.M.________ avait été victime de la part de la prévenue d'un harcèlement durable et obsessionnel qui l'avait entravé dans sa</w:t>
      </w:r>
    </w:p>
    <w:p>
      <w:r>
        <w:t>- 23 - liberté d'action, l'obligeant à couper ses lignes téléphoniques et fermer ses bureaux pour tenter d'y échapper. Il en va de même concernant T.________ qui a dû renoncer à travailler à [...] et finalement démissionner de son emploi auprès de l’entreprise E.________ Sàrl. On peut à cet égard se référer à l'analyse détaillée figurant en pages 60 et 61 du jugement. La prévenue a agi intentionnellement en contraignant ses victimes, par son harcèlement, à de nombreux comportements d'évitement.</w:t>
      </w:r>
    </w:p>
    <w:p>
      <w:r>
        <w:rPr>
          <w:b/>
        </w:rPr>
        <w:t>E. 5.1</w:t>
      </w:r>
    </w:p>
    <w:p>
      <w:r>
        <w:t>L'appelante conteste ensuite la peine prononcée à son encontre, qu'elle estime trop sévère. Pour sa part, le Ministère public considère dans son appel joint qu'elle est au contraire trop clémente, de sorte que ces deux moyens peuvent être traités ensemble.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t>- 24 -</w:t>
      </w:r>
    </w:p>
    <w:p>
      <w:r>
        <w:rPr>
          <w:b/>
        </w:rPr>
        <w:t>E. 5.3</w:t>
      </w:r>
    </w:p>
    <w:p>
      <w:r>
        <w:t>Pour sanctionner la prévenue, les premiers juges ont prononcé à la fois une peine privative de liberté, des jours-amende et une amende. Cette triple sanction est conforme aux peines prévues pour les infractions retenues, les art. 173 et 177 CP ne prévoyant que des jours-amende et l'art. 179septies CP que l'amende, alors que les art. 174, 180, 181 CP et 91 LCR permettent le prononcé d'une peine privative de liberté ou de jours- amende. Les conclusions de l'appelante qui voudrait qu'une peine privative de liberté seule soit prononcée en n'admettant que des infractions susceptibles de jours-amende et d'amende sont déjà erronées pour ce motif. Tout bien considéré, la peine prononcée par les premiers juges est adéquate et doit être confirmée. Ils ont en effet motivé la fixation de la peine sur des critères pertinents au regard de l'art. 47 CP, en relevant l'intensité et la durée des agissements délictueux, le profond mépris affiché par la prévenue envers ses victimes et sa responsabilité entière. A décharge, ils ont pris en considération l'absence d'antécédents, alors qu'il s'agit en principe d'une circonstance neutre, ainsi que les effets de la détention avant jugement. C'est en vain que l'appelante tente de relativiser la gravité de ses actes en faisant valoir qu'elle aurait exprimé des regrets à plusieurs reprises. Il apparait au contraire qu'elle a récidivé à de nombreuses reprises au point que le procureur en charge des enquêtes a dû demander sa mise en détention pour que les infractions cessent. Il n'est pas non plus nécessaire, comme le voudrait le Ministère public, d'augmenter la peine privative de liberté. Même si les deux cas de menaces supplémentaires qu'il soutient dans son appel joint paraissent réalisés (cas c : « on tue tout le monde » et cas d : « ça allait très mal se passer »), cela ne constitue pas un motif suffisant d'augmenter la peine, compte tenu du concours entre les nombreuses infractions déjà retenues. En outre, le Parquet semble perdre de vue que le cumul de la peine privative de liberté et des jours-amende représente une sanction</w:t>
      </w:r>
    </w:p>
    <w:p>
      <w:r>
        <w:t>- 25 - équivalent à un an, ce qui est une peine élevée pour le type d'infractions retenues et tient donc compte de la gravité des actes. Le jugement doit donc être confirmé sur les peines prononcées. Pour le surplus, le montant du jour-amende n'est en lui-même pas contesté et est justifié compte tenu de l'importante fortune de la condamnée, qui dispose d’un montant de l’ordre d’un million de francs en liquidités et qui est en outre propriétaire de la villa dans laquelle elle vit et qui n’est grevée d’aucune hypothèque.</w:t>
      </w:r>
    </w:p>
    <w:p>
      <w:r>
        <w:rPr>
          <w:b/>
        </w:rPr>
        <w:t>E. 6.1</w:t>
      </w:r>
    </w:p>
    <w:p>
      <w:r>
        <w:t>L'appelante conteste enfin le tort moral alloué aux plaignants et le montant des dépens. Ils n'auraient pas apporté la preuve des conséquences dommageables des infractions et la consultation d'un avocat pour la procédure pénale n'aurait pas été nécessaire.</w:t>
      </w:r>
    </w:p>
    <w:p>
      <w:r>
        <w:rPr>
          <w:b/>
        </w:rPr>
        <w:t>E. 6.2</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11 410 consid. 2a). La détermination de l'indemnité pour tort moral relève du pouvoir d'appréciation du juge qui statue selon les règles du droit et de l'équité (art. 4 CC [Code civil suisse du 20 décembre 1907, RS 210] ; ATF 132 11 117 consid.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w:t>
      </w:r>
    </w:p>
    <w:p>
      <w:r>
        <w:t>- 26 - concernée, du degré de la faute de l'auteur de l'atteinte et de la possibilité d'adoucir de façon sensible, par le versement d'une somme d'argent, la douleur physique ou morale (TF 4A_489/2007 du 22 février 2008 consid. 8.2 ; ATF 132 11 117 consid. 2.2.2 ; ATF 125 III 412 consid. 2a, JdT 2006 IV 118).</w:t>
      </w:r>
    </w:p>
    <w:p>
      <w:r>
        <w:rPr>
          <w:b/>
        </w:rPr>
        <w:t>E. 6.3</w:t>
      </w:r>
    </w:p>
    <w:p>
      <w:r>
        <w:t>Selon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(TF 6B 965/2013 du 3 décembre 2013 consid. 3.1.1 ; TF 6B_159/2012 du 22 juin 2012 consid. 2.2 et les références citées).</w:t>
      </w:r>
    </w:p>
    <w:p>
      <w:r>
        <w:rPr>
          <w:b/>
        </w:rPr>
        <w:t>E. 6.4</w:t>
      </w:r>
    </w:p>
    <w:p>
      <w:r>
        <w:t>Les montants alloués par les premiers juges à titre de réparation morale sont adéquats et doivent être confirmés. Ils tiennent compte de la gravité de l'atteinte, de son intensité et de sa durée. C'est en vain que l'appelante nie le traumatisme subi par les plaignants, qui résulte des faits retenus et des conséquences psychiques habituelles pour les victimes de ce genre d'infractions. Il est d'ailleurs établi que la plaignante a dû consulter un psychiatre. C’est également à juste titre sur le principe que les premiers juges ont alloué à chacun des plaignants une indemnité pour les dépenses obligatoires occasionnées par la procédure pénale. En revanche, celles-ci s’avèrent trop élevées dès lors qu’elles ont été fixées sur la base d’un tarif horaire de 400 francs. Eu égard à la nature de la cause, c’est un tarif horaire de 300 fr. qu’il convient d’appliquer, de sorte que les indemnités allouées à E.________ Sàrl et à B.M.________ doivent être réduites à 4'760 fr. et celle de T.________ à 11'510 francs.</w:t>
      </w:r>
    </w:p>
    <w:p>
      <w:r>
        <w:t>- 27 -</w:t>
      </w:r>
    </w:p>
    <w:p>
      <w:r>
        <w:rPr>
          <w:b/>
        </w:rPr>
        <w:t>E. 7</w:t>
      </w:r>
    </w:p>
    <w:p>
      <w:r>
        <w:t>En définitive, l’appel joint du Ministère public doit rejeté et l’appel de J.________ doit être très partiellement admis, le jugement du 9 mars 2016 devant être réformé à ses chiffres IV à VI dans le sens du considérant 6.4 ci-dessus.</w:t>
      </w:r>
    </w:p>
    <w:p>
      <w:r>
        <w:rPr>
          <w:b/>
        </w:rPr>
        <w:t>E. 8</w:t>
      </w:r>
    </w:p>
    <w:p>
      <w:r>
        <w:t>Vu l’issue de la cause, les frais de la procédure d’appel, par 2’900 fr., constitués en l’espèce du seul émolument d’arrêt (art. 21 al. 1 et 2 TFIP), seront mis par moitié à la charge de J.________, le solde étant laissé à la charge de l’Etat. L’appelante sera reconnue débitrice de B.M.________, E.________ Sàrl et T.________, solidairement entre eux, d’un montant arrêté également sur la base d’un tarif horaire de 300 fr. à 3’400 fr. à titre d’indemnité pour les dépenses occasionnées par la procédure d’appel. la Cour d’appel pénale, statuant en application des articles 34, 40, 42, 44, 47, 49 al. 1, 50, 51, 106, 173 ch. 1, 174 ch. 1, 177, 179septies, 180 al. 1, 181 ad 22, 181 CP, 291 al. 1 LCR, et 398 ss CPP prononce : I. L’appel de J.________ est très partiellement admis. II. L’appel joint du Ministère public est rejeté. III. Le jugement rendu le 9 mars 2016 par le Tribunal correctionnel de l’arrondissement de la Côte est modifié comme il suit aux chiffres IV à VI de son dispositif, le dispositif du jugement étant désormais le suivant : "I. libère J.________ des chefs de prévention de lésions corporelles simples, de violation de domicile et de dommages à la propriété.</w:t>
      </w:r>
    </w:p>
    <w:p>
      <w:r>
        <w:t>- 28 - II. constate que J.________ s’est rendue coupable de diffamation, de calomnie, d'injure, d’utilisation abusive d’une installation de télécommunication, de menaces, de tentative de contrainte, de contrainte et de conduite en état d’ébriété qualifiée. III. condamne J.________ à une peine privative de liberté de 6 (six) mois, sous déduction de 103 (cent trois) jours de détention avant jugement, et à une peine pécuniaire de 180 (cent huitante) jours-amende, le jour-amende étant fixé à 300 fr. (trois cents francs), avec sursis pendant 5 (cinq) ans, et à une amende de 6'000 fr. (six mille francs), convertible en 20 (vingt) jours de peine privative de liberté de substitution en cas de non-paiement fautif de l’amende. IV. dit que J.________ doit verser à E.________ Sàrl la somme de 4’760 fr. (quatre mille sept cent soixante francs) d’indemnité pour les dépenses obligatoires occasionnées par la procédure pénale. V. dit que J.________ doit verser à B.M.________ la somme de 5'000 fr. (cinq mille francs) à titre de réparation du tort moral avec intérêts à 5 % l'an depuis le 1er décembre 2014 et un montant de 4'760 fr. (quatre mille sept cent soixante francs) à titre d’indemnité pour les dépenses obligatoires occasionnées par la procédure pénale. VI. dit que J.________ doit verser à T.________ la somme de 5'000 fr. (cinq mille francs) à titre de réparation du tort moral avec intérêt à 5 % l'an dès le 1er décembre 2014, et un montant de 11'510 fr. (onze mille cinq cent dix francs) à titre d’indemnité pour les dépenses obligatoires occasionnées par la procédure pénale. VII. donne acte à E.________ Sàrl de ses réserves civiles à l’encontre de J.________. VIII. donne acte à B.M.________ de ses réserves civiles à l’encontre de J.________. IX. donne acte à T.________ de ses réserves civiles à l’encontre de J.________.</w:t>
      </w:r>
    </w:p>
    <w:p>
      <w:r>
        <w:t>- 29 - X. rejette les conclusions civiles prises par Q.________ contre J.________. XI. dit que les frais de la procédure pénale, par 14'276 fr. (quatorze mille deux cent septante-six francs), sont mis à la charge de J.________." IV. J.________ doit à T.________, B.M.________ et E.________ Sàrl, solidairement entre eux, un montant de 3’400 fr. à titre d’indemnité pour les dépenses occasionnées par la procédure d’appel. V. Les frais d'appel, par 2’900 fr., sont mis par moitié à la charge de J.________, soit par 1’450 fr., le solde étant laissé à la charge de l’Etat. Le président : La greffière : Du Le jugement qui précède, dont le dispositif a été communiqué par écrit aux intéressés le 7 septembre 2016, est notifié, par l'envoi d'une copie complète, à : - Me Christian Dénériaz, avocat (pour J.________), - Me Kieu-Oanh Nguyen, avocate (pour B.M.________, E.________ Sàrl, T.________ et Q.________), - Ministère public central, et communiqué à : - Mme la Présidente du Tribunal correctionnel de l'arrondissement de La Côte, - M. le Procureur de l'arrondissement de La Côte, - Office d'exécution des peines,</w:t>
      </w:r>
    </w:p>
    <w:p>
      <w:r>
        <w:t>- 30 - - […] (réf. J12/122282 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