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PE14.019760 vom 21. Februar 2018</w:t>
      </w:r>
    </w:p>
    <w:p>
      <w:r>
        <w:t>VD Tribunal cantonal, 2018-02-21, FR</w:t>
      </w:r>
    </w:p>
    <w:p>
      <w:r>
        <w:rPr>
          <w:b/>
        </w:rPr>
        <w:t xml:space="preserve">Quelle: </w:t>
      </w:r>
      <w:r>
        <w:t>https://mcp.opencaselaw.ch/entscheid/vd_gerichte_PE14.019760</w:t>
      </w:r>
    </w:p>
    <w:p>
      <w:r>
        <w:t>FR: VD_GERICHTE PE14.019760 du 21 février 2018</w:t>
      </w:r>
    </w:p>
    <w:p>
      <w:r>
        <w:t>IT: VD_GERICHTE PE14.019760 del 21 febbraio 2018</w:t>
      </w:r>
    </w:p>
    <w:p>
      <w:pPr>
        <w:pStyle w:val="Heading2"/>
      </w:pPr>
      <w:r>
        <w:t>Erwägungen</w:t>
      </w:r>
    </w:p>
    <w:p>
      <w:r>
        <w:rPr>
          <w:b/>
        </w:rPr>
        <w:t>E. 4</w:t>
      </w:r>
    </w:p>
    <w:p>
      <w:r>
        <w:t>Les appelantes reprochent enfin au « Tribunal criminel » de ne pas avoir appliqué correctement les dispositions du Code pénal suisse s'agissant spécialement des art. 117 et 128 CP, ainsi que les art. 31 et 32</w:t>
      </w:r>
    </w:p>
    <w:p>
      <w:r>
        <w:t>- 26 - LCR et d'avoir ainsi libéré à tort les prévenus et rejeté leurs conclusions civiles.</w:t>
      </w:r>
    </w:p>
    <w:p>
      <w:r>
        <w:rPr>
          <w:b/>
        </w:rPr>
        <w:t>E. 4.1</w:t>
      </w:r>
    </w:p>
    <w:p>
      <w:r>
        <w:t>X.________ était renvoyé devant le Tribunal correctionnel pour homicide par négligence et violation simple des règles de la circulation routière pour avoir enfreint les art. 31 al. 1 et 32 al. 1 LCR.</w:t>
      </w:r>
    </w:p>
    <w:p>
      <w:r>
        <w:rPr>
          <w:b/>
        </w:rPr>
        <w:t>E. 4.1.1</w:t>
      </w:r>
    </w:p>
    <w:p>
      <w:r>
        <w:t>L’art. 117 CP réprime le comportement de celui qui, par négligence, aura causé la mort d'une personne. La réalisation de cette infraction suppose donc la réunion de trois conditions : le décès d'une personne, une négligence et un lien de causalité naturel et adéquat entre la négligence et la mort (ATF 122 IV 145 consid. 3).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143 IV 138 consid. 2.1 ; ATF 135 IV 56 consid. 2.1 ; ATF 134 IV 255 consid. 4.2.3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précité ; ATF 122 IV 133 consid. 2a). Selon l'art. 31 al. 1 LCR, le conducteur devra rester constamment maître de son véhicule, de façon à pouvoir se conformer aux devoirs de la prudence. L'art. 3 al. 1 de l'ordonnance sur les règles de la circulation routière (OCR ; RS 741.11) précise que le conducteur vouera son attention à la route et à la circulation. Le degré de l'attention requise</w:t>
      </w:r>
    </w:p>
    <w:p>
      <w:r>
        <w:t>- 27 -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 2.1 ; TF 6B_873/2014 du 5 janvier 2015 consid. 2.1 et la référence citée). 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(ATF 126 IV 91 consid. 4a/cc et les références citées ; TF 6B_1023/2010 du 3 mars 2011 consid. 2.1).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(TF 6B_873/2014 précité ; TF 6B_1023/2010 précité). La violation fautive d'un devoir de prudence doit être la cause naturelle et adéquate des lésions subies par la victime (ATF 133 IV 158 consid. 6 ; ATF 129 IV 119 consid. 2.4). Un comportement est la cause</w:t>
      </w:r>
    </w:p>
    <w:p>
      <w:r>
        <w:t>- 28 - naturelle d'un résultat s'il en constitue l'une des conditions sine qua non, c'est-à-dire si, sans lui, le résultat ne se serait pas produit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(ATF 138 IV 57 précité ; ATF 133 IV 158 consid. 6.1).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w:t>
      </w:r>
    </w:p>
    <w:p>
      <w:r>
        <w:rPr>
          <w:b/>
        </w:rPr>
        <w:t>E. 4.1.2</w:t>
      </w:r>
    </w:p>
    <w:p>
      <w:r>
        <w:t>En l’espèce, les premiers juges ont tout d'abord exclu une violation fautive de la règle de prudence imposée par l'art. 32 LCR. Ils ont en substance considéré que, compte tenu de la position de la victime et de son habillement, cette dernière n'était entrée dans le champ de vision de X.________ qu'à un moment où il n'était de toute façon plus en mesure de réagir efficacement, même à une allure encore plus réduite.</w:t>
      </w:r>
    </w:p>
    <w:p>
      <w:r>
        <w:t>- 29 - Cette appréciation ne peut qu'être confirmée. En effet, X.________ roulait à une vitesse légèrement inférieure à celle autorisée, feux de croisement enclenchés, ce qui ne saurait lui être reproché dans la mesure où il venait à peine de croiser un autre automobiliste. La victime était en outre habillée de vêtements foncés et reposait sur une route mouillée, dont le revêtement venait tout juste d'être refait, qui plus est à un endroit particulièrement sombre et dépourvu d'éclairage. Elle n'a ainsi pu être repérée par le prévenu qu'au tout dernier moment et encore pour être confondue dans un premier temps avec une bâche. Ce n'est donc pas la vitesse qui a empêché le prévenu d'éviter la victime allongée au sol, mais bien le fait que celle-ci n'était pratiquement pas visible, étant ici rappelé que la hauteur de son corps allongé était inférieure à 20 centimètres. Les premiers juges ont ensuite exclu une violation fautive de la règle de prudence résultant de l'art. 31 al. 1 LCR, en relevant que le prévenu était parfaitement concentré au moment des faits et qu'il avait immédiatement réagi à la vue de la victime en tentant une manœuvre d'évitement. Cette appréciation ne prête elle non plus pas le flanc à la critique et peut être confirmée. Il n'est en effet pas contestable que le prévenu était reposé, attentif à la route, qu'il n'était pas distrait par des circonstances extérieures et qu'il a réagi aussitôt après avoir décelé une présence sur la route en freinant et en tournant son volant sur la gauche pour tenter de l'éviter. Aucun élément ne permet, à cet égard, de considérer que le prévenu aurait pu éviter la victime en vouant davantage d’attention à la route et à la circulation, ni qu’il aurait pu, par une conduite ou une manœuvre différente, ne pas rouler sur celle-ci. Par surabondance, les premiers juges ont encore relevé qu'en tout état de cause, le lien de causalité adéquate aurait été interrompu par le comportement de la victime.</w:t>
      </w:r>
    </w:p>
    <w:p>
      <w:r>
        <w:t>- 30 - Cette appréciation ne peut elle aussi qu'être confirmée. Dans sa jurisprudence la plus récente, le Tribunal fédéral considère en effet qu’il ne peut pas être exigé l’impossible de la part du conducteur, le comportement de la victime pouvant constituer une circonstance extraordinaire et exceptionnelle de nature à rompre le lien de causalité adéquate (TF 6B_770/2017 du 11 janvier 2018 consid. 3.2). La Haute Cour a notamment retenu que le comportement consistant, pour un piéton, habillé de noir, en pleine nuit, à se coucher sans aucune raison et sans d'ailleurs que l'on puisse comprendre un tel comportement, sur les voies d'une autoroute constituait une circonstance tout à fait exceptionnelle et, partant, imprévisible à laquelle aucun automobiliste ne pouvait s'attendre (TF 6B_291/2015 du 18 janvier 2016 consid. 3.2). Ce raisonnement est parfaitement transposable au cas d'espèce. En effet, le fait que la victime se trouve allongée sur une autoroute ou sur une route cantonale n’est pas déterminant, dans la mesure où la présence de piétons à l’endroit en question apparaît exceptionnelle au vu de l’ensemble des circonstances. En l’espèce, on doit en effet considérer qu'en s'allongeant sur une route cantonale, vêtue de vêtements foncés, en pleine nuit, à un endroit sombre, dépourvu d'éclairage et de toute installation permettant de suspecter la présence de personnes à cet endroit, la victime a adopté un comportement intrinsèquement irrationnel, totalement imprévisible, qui relègue à l'arrière-plan l'éventuelle faute du conducteur qui lui roule dessus, cela quels que soient les motifs qui aient conduit la victime à se trouver dans une telle position. Au vu de ce qui précède, la libération de X.________ des chefs de prévention d’homicide par négligence et de violation simple des règles de la circulation routière doit être confirmée.</w:t>
      </w:r>
    </w:p>
    <w:p>
      <w:r>
        <w:rPr>
          <w:b/>
        </w:rPr>
        <w:t>E. 4.2</w:t>
      </w:r>
    </w:p>
    <w:p>
      <w:r>
        <w:t>Pour sa part, R.________ était renvoyé devant le Tribunal correctionnel pour d’omission de prêter secours.</w:t>
      </w:r>
    </w:p>
    <w:p>
      <w:r>
        <w:rPr>
          <w:b/>
        </w:rPr>
        <w:t>E. 4.2.1.1</w:t>
      </w:r>
    </w:p>
    <w:p>
      <w:r>
        <w:t>Aux termes de l'art. 128 CP, celui qui n'aura pas prêté secours à une personne qu'il a blessée ou à une personne en danger de mort</w:t>
      </w:r>
    </w:p>
    <w:p>
      <w:r>
        <w:t>- 31 -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 L'art. 128 CP sanctionne un délit de mise en danger abstraite par pure omission (ATF 121 IV 18 consid. 2a et les références citées).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précité et les références citées).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6B_1089/2017 du 16 mai 2018 consid. 1.1 ; TF 6B_813/2015 du 16 juin 2016 consid. 1.3). D'une manière générale, le législateur n'exige nullement l'héroïsme ; c'est dire que l'existence d'un risque sérieux et concret pour la personne du sauveteur, voire pour un tiers, sera, en règle générale, exonératoire de toute obligation de secours. En revanche, en fonction de l'intensité du danger encouru par le blessé, on pourra exiger certains sacrifices de la part de l'auteur ; ainsi, pour sauver la vie d'une personne, on pourra exiger que l'auteur consente notamment le coût d'un appel téléphonique pour prévenir les secours professionnels, le fait d'arriver en retard à un rendez-vous ou de subir quelques taches de sang sur ses vêtements ou sur les sièges de son véhicule afin d'emmener un blessé</w:t>
      </w:r>
    </w:p>
    <w:p>
      <w:r>
        <w:t>- 32 - dans l'hôpital le plus proche (Yvan Jeanneret, L'omission de prêter secours (art. 128 CP), in RPS 2002, p. 375 et les références citées).</w:t>
      </w:r>
    </w:p>
    <w:p>
      <w:r>
        <w:rPr>
          <w:b/>
        </w:rPr>
        <w:t>E. 4.2.1.2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6B_1335/2016 du 5 septembre 2017 consid. 2.1). L'acte d'accusation définit l'objet du procès et sert également à informer le prévenu (fonction de délimitation et d'information) (ATF 143 IV 63 précité ; ATF 141 IV 132 précité et les références citées). Des imprécisions relatives au lieu ou à la date sont sans portée, dans la mesure où le prévenu ne</w:t>
      </w:r>
    </w:p>
    <w:p>
      <w:r>
        <w:t>- 33 - peut avoir de doute sur le comportement qui lui est reproché (TF 6B_275/2016 du 9 décembre 2016 consid. 2.1 ; TF 6B_1141/2015 du 3 juin 2016 consid. 1.1). Lorsque l'infraction est commise par omission (délit d'omission improprement dit), l'acte d'accusation doit préciser les circonstances de fait qui permettent de conclure à une obligation juridique d'agir de l'auteur (art. 11 al. 2 CP), ainsi que les actes que l'auteur aurait dû accomplir. En cas de délit d'omission commis par négligence, il doit, en outre, indiquer l'ensemble des circonstances faisant apparaître en quoi l'auteur a manqué de diligence dans son comportement, ainsi que le caractère prévisible et évitable de l'acte (ATF 120 IV 348 consid. 3c ; ATF 116 la 455 ; TF 6B_177/2017 du 6 septembre 2017 consid. 4.5.2). Une condamnation fondée sur un état de fait différent de celui qui figure dans l'acte d'accusation viole le droit d'être entendu, si cet acte n'a pas été complété ou modifié d'une manière suffisante en temps utile, au cours de la procédure (ATF 116 la 455).</w:t>
      </w:r>
    </w:p>
    <w:p>
      <w:r>
        <w:rPr>
          <w:b/>
        </w:rPr>
        <w:t>E. 4.2.2</w:t>
      </w:r>
    </w:p>
    <w:p>
      <w:r>
        <w:t>En l'espèce, les premiers juges ont en substance retenu qu'après avoir repéré la victime sur la route, R.________ n'était pas resté passif mais avait cherché à attirer l'attention des conducteurs qui arrivaient en face, qu'on ne pouvait pas lui reprocher de ne pas avoir mis son véhicule en rempart devant la victime, que les secours avaient été appelés une poignée de secondes après qu’il s'était arrêté et qu'ainsi aucune intervention supplémentaire de sa part n'aurait pu avoir un quelconque caractère utile et nécessaire. Cette appréciation est adéquate. Il est en effet établi qu'après avoir constaté la présence de la victime sur la route, R.________ avait d'abord cherché à avertir du danger le conducteur qui arrivait en face par des appels de phares, des cris et des gestes. Comme l'ont à juste titre relevé les premiers juges, on ne voit pas ce que le prévenu aurait pu faire de plus à ce stade. On ne peut en tous les cas pas lui reprocher de ne pas avoir positionné son véhicule en rempart entre la victime et la voiture qui arrivait en face compte tenu du risque considérable et évident qu'une telle</w:t>
      </w:r>
    </w:p>
    <w:p>
      <w:r>
        <w:t>- 34 - manœuvre aurait fait courir au prévenu lui-même, mais aussi aux passagers de la voiture conduite par X.________. On sait également qu'après avoir heurté la victime, X.________ s'est immédiatement immobilisé, qu'il est sorti de sa voiture avec sa passagère pour lui porter secours, qu’R.________ est pour sa part parvenu à stopper le second véhicule qui arrivait pour l'avertir du danger et, enfin, que les secours ont été appelés par X.________ à 4 h 26 min 19 secondes, soit 30 secondes après qu’R.________ a immobilisé son véhicule à 4 h 25 min 49 secondes. Dans ce cadre, on ne voit effectivement pas quelle intervention supplémentaire utile aurait pu être exigée de la part d’R.________. C'est donc à juste titre que les premiers juges l'ont libéré de l'infraction d'omission de prêter secours. D'ailleurs, et comme l'ont à raison également relevé les premiers juges, une condamnation pour omission de prêter secours aurait de toute manière contrevenu au principe d'accusation, dans la mesure où l'acte d'accusation ne mentionne pas ce qui aurait été attendu d’R.________, soit l'étendue et la nature des secours qu'il aurait dus apporter. Partant, la libération d’R.________ du chef de prévention d’omission de prêter secours doit être confirmée.</w:t>
      </w:r>
    </w:p>
    <w:p>
      <w:r>
        <w:rPr>
          <w:b/>
        </w:rPr>
        <w:t>E. 4.3</w:t>
      </w:r>
    </w:p>
    <w:p>
      <w:r>
        <w:t>Au vu de ce qui précède, c'est également à juste titre que les premiers juges ont rejeté les conclusions civiles prises par les appelantes et refusé de leur allouer une indemnité au sens de l’art. 433 CPP.</w:t>
      </w:r>
    </w:p>
    <w:p>
      <w:r>
        <w:rPr>
          <w:b/>
        </w:rPr>
        <w:t>E. 5</w:t>
      </w:r>
    </w:p>
    <w:p>
      <w:r>
        <w:t>En définitive, l’appel d’A.W.________ et de B.W.________ doit être rejeté et le jugement entrepris intégralement confirmé. Les appelantes ont conclu à l’allocation d’une indemnité de 7'956 fr. 50 pour la défense de leurs intérêts dans le procès devant la Cour d’appel au sens de l’art. 433 CPP et au rejet de toutes autres conclusions. Dans la mesure où ces conclusions reposent sur la prémisse de l’admission de leur appel, elles doivent être rejetées.</w:t>
      </w:r>
    </w:p>
    <w:p>
      <w:r>
        <w:t>- 35 - Il n’y a pas lieu de s’écarter de la liste des opérations produite par Me Benoît Morzier, défenseur d’office de X.________, faisant état de 14 h 22 d’activité, d’une vacation et de débours à hauteur de 18 francs. Ainsi, une indemnité d’un montant de 2'933 fr. 75 (2’586 fr. [honoraires] + 120 fr. [vacation] + 18 fr. [débours] + 209 fr. 75 [TVA]), lui sera allouée pour la procédure d’appel. Il n’y a pas non plus lieu de s’écarter de la liste des opérations produite par Me Christian Favre, défenseur d’office d’R.________, qui fait état de 5.17 h d’activité et d’une vacation. C’est donc une indemnité d’un montant de 1'131 fr. 50 (930 fr. 60 [honoraires] + 120 fr. [vacation] + 80 fr. 90 [TVA]) qui doit lui être allouée pour la procédure d’appel. Compte tenu des circonstances, les frais de la procédure d’appel, comprenant l’émolument de jugement par 3’340 fr. (art. 21 al. 1 et 2 TFIP [Tarif des frais de procédure et indemnités en matière pénale du 28 septembre 2010 ; RSV 312.03.1]), ainsi que les indemnités allouées aux défenseurs d’office de X.________ et d’R.________, soit au total 7'405 fr. 25,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