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PE14.019411 vom 25. Januar 2022</w:t>
      </w:r>
    </w:p>
    <w:p>
      <w:r>
        <w:t>VD Tribunal cantonal, 2022-01-25, FR</w:t>
      </w:r>
    </w:p>
    <w:p>
      <w:r>
        <w:rPr>
          <w:b/>
        </w:rPr>
        <w:t xml:space="preserve">Quelle: </w:t>
      </w:r>
      <w:r>
        <w:t>https://mcp.opencaselaw.ch/entscheid/vd_gerichte_PE14.019411</w:t>
      </w:r>
    </w:p>
    <w:p>
      <w:r>
        <w:t>FR: VD_GERICHTE PE14.019411 du 25 janvier 2022</w:t>
      </w:r>
    </w:p>
    <w:p>
      <w:r>
        <w:t>IT: VD_GERICHTE PE14.019411 del 25 gennaio 2022</w:t>
      </w:r>
    </w:p>
    <w:p>
      <w:pPr>
        <w:pStyle w:val="Heading2"/>
      </w:pPr>
      <w:r>
        <w:t>Erwägungen</w:t>
      </w:r>
    </w:p>
    <w:p>
      <w:r>
        <w:rPr>
          <w:b/>
        </w:rPr>
        <w:t>E. 4</w:t>
      </w:r>
    </w:p>
    <w:p>
      <w:r>
        <w:t>Concluant à sa libération, l’appelant ne conteste pas la sanction prononcée en tant que telle. Procédant à son examen d'office, la Cour de céans estime que la peine infligée par le premier juge a été fixée en application des critères légaux à charge et à décharge et conformément à la culpabilité et à la situation personnelle d’U.________ (cf. art. 47 CP). Adéquate, la peine pécuniaire de 60 jours-amende à 30 fr. le jour, avec sursis pendant 2 ans, peut dès lors être confirmée par adoption de motifs (cf. art. 82 al. 4 CPP ; jugement, p. 38).</w:t>
      </w:r>
    </w:p>
    <w:p>
      <w:r>
        <w:rPr>
          <w:b/>
        </w:rPr>
        <w:t>E. 5</w:t>
      </w:r>
    </w:p>
    <w:p>
      <w:r>
        <w:t>Dès lors qu’il conclut à son acquittement, l’appelant conteste la mise à sa charge d’une partie des frais de procédure.</w:t>
      </w:r>
    </w:p>
    <w:p>
      <w:r>
        <w:t>- 19 -</w:t>
      </w:r>
    </w:p>
    <w:p>
      <w:r>
        <w:rPr>
          <w:b/>
        </w:rPr>
        <w:t>E. 5.1</w:t>
      </w:r>
    </w:p>
    <w:p>
      <w:r>
        <w:t>Aux termes de l’art. 426 al. 1, 1re phrase,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JdT 2013 IV 191 ; TF 6B_832/2020 du 22 février 2021 consid. 4.1). Si la condamnation du prévenu n'est que partielle, les frais ne doivent être mis à sa charge que de manière proportionnelle, en considération des frais liés à l'instruction des infractions pour lesquelles un verdict de culpabilité a été prononcé (TF 6B_572/2018 du 1er octobre 2018 consid. 5.1.1). Il convient de répartir les frais en fonction des différents états de fait retenus, non selon les infractions visées (TF 6B_136/2016 du 23 janvier 2017 consid. 4.1.1 et la réf. citée).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Comme il est difficile de déterminer avec exactitude les frais qui relèvent de chaque fait imputable ou non au condamné, une certaine marge d'appréciation doit être laissée au juge (TF 6B_921/2019 du 19 septembre 2019 consid. 3.1 ; TF 6B_572/2018 du 1er octobre 2018 consid. 5.1.1 et les arrêts cités).</w:t>
      </w:r>
    </w:p>
    <w:p>
      <w:r>
        <w:rPr>
          <w:b/>
        </w:rPr>
        <w:t>E. 5.2</w:t>
      </w:r>
    </w:p>
    <w:p>
      <w:r>
        <w:t>Le tribunal de première instance a considéré que, le prévenu succombant très partiellement à l’action pénale, celui-ci devait en supporter une part des frais, soit un quart des frais communs et de l’indemnité allouée à son défenseur d’office (jugement, p. 38), pour un montant total de 8'042 fr. 80, dont 3'728 fr. d’indemnité d’office. La condamnation de l’appelant pour dénonciation calomnieuse est certes maintenue. Toutefois, le montant final des frais mis à sa charge pour le seul complexe de faits ayant donné lieu à cette condamnation paraît exagéré. U.________ a été renvoyé devant le Tribunal de police pour</w:t>
      </w:r>
    </w:p>
    <w:p>
      <w:r>
        <w:t>- 20 - huit états de fait distincts. Quatre d’entre eux ont été réglés par le biais de conventions entraînant des retraits de plainte. Une part des frais par 100 fr. a été mise à la charge des trois autres prévenus impliqués dans ces quatre cas. Pour le surplus, l’appelant a été libéré de trois autres cas, les faits reprochés n’ayant pas pu être établis à satisfaction et/ou les éléments constitutifs des infractions envisagées n’étant pas réunis. Ainsi, tout bien considéré, il se justifie de réduire les frais mis à la charge de l’appelant à un montant global de 2'000 fr. ex aequo et bono, comprenant une part de l’indemnité due à son défenseur d’office. L’appel doit être admis dans cette mesure.</w:t>
      </w:r>
    </w:p>
    <w:p>
      <w:r>
        <w:rPr>
          <w:b/>
        </w:rPr>
        <w:t>E. 6</w:t>
      </w:r>
    </w:p>
    <w:p>
      <w:r>
        <w:t>En définitive, l’appel doit être partiellement admis et le jugement contesté réformé dans le sens des considérants qui précèdent. Sur la base de la liste des opérations produite par le défenseur d’office de l’appelant (P. 188), dont il n’y a pas lieu de s’écarter si ce n’est pour tenir compte du temps effectif consacré à l’audience du 31 mai 2022, c’est une indemnité de 1'711 fr. 15, correspondant à 8 heures d’activité au tarif horaire d’avocat de 180 fr., par 1'440 fr., des débours forfaitaires à concurrence de 2 % (cf. art. 3bis al. 1 RAJ [Règlement sur l’assistance judiciaire en matière civile du 7 décembre 2010 ; BLV 211.02.3], applicable par renvoi de l’art. 26b TFIP [Tarif des frais de procédure et indemnités en matière pénale du 28 septembre 2010 ; BLV 312.03.1]), par 28 fr. 80, une vacation, par 120 fr., et la TVA, par 122 fr. 35, qui sera allouée à Me Matthieu Genillod. Vu l’issue de la cause, les frais de la procédure d’appel, par 3'541 fr. 15, constitués de l’émolument d’audience et de jugement, par 1'830 fr. (cf. art. 21 al. 1 TFIP), et de l’indemnité due au défenseur d’office de l’appelant, par 1'711 fr. 15, seront mis par moitié, soit par 1'770 fr. 55, à la charge d’U.________, le solde étant laissé à la charge de l’Etat (cf. art. 428 al. 1, 1re phrase, CPP).</w:t>
      </w:r>
    </w:p>
    <w:p>
      <w:r>
        <w:t>- 21 - L’appelant ne sera toutefois tenu de rembourser à l’Etat la moitié de l’indemnité en faveur de son défenseur d’office que lorsque sa situation financière le permettra (cf.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