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PE14.019407 vom 5. März 2015</w:t>
      </w:r>
    </w:p>
    <w:p>
      <w:r>
        <w:t>VD Tribunal cantonal, 2015-03-05, FR</w:t>
      </w:r>
    </w:p>
    <w:p>
      <w:r>
        <w:rPr>
          <w:b/>
        </w:rPr>
        <w:t xml:space="preserve">Quelle: </w:t>
      </w:r>
      <w:r>
        <w:t>https://mcp.opencaselaw.ch/entscheid/vd_gerichte_PE14.019407</w:t>
      </w:r>
    </w:p>
    <w:p>
      <w:r>
        <w:t>FR: VD_GERICHTE PE14.019407 du 5 mars 2015</w:t>
      </w:r>
    </w:p>
    <w:p>
      <w:r>
        <w:t>IT: VD_GERICHTE PE14.019407 del 5 marzo 2015</w:t>
      </w:r>
    </w:p>
    <w:p>
      <w:pPr>
        <w:pStyle w:val="Heading2"/>
      </w:pPr>
      <w:r>
        <w:t>Erwägungen</w:t>
      </w:r>
    </w:p>
    <w:p>
      <w:r>
        <w:rPr>
          <w:b/>
        </w:rPr>
        <w:t>E. 5.1</w:t>
      </w:r>
    </w:p>
    <w:p>
      <w:r>
        <w:t>L’appelante reproche aux premiers juges d’avoir ordonné une mesure institutionnelle sur la base d’un rapport d’expertise « biaisé ». Le rapport d’expertise, qui compte 28 pages, est détaillé et complet. L’expert a été entendu au Tribunal de première instance et il a confirmé la teneur de son rapport. Pour l’expert, l’évidence médicale est</w:t>
      </w:r>
    </w:p>
    <w:p>
      <w:r>
        <w:t>- 19 - un placement en institution, tel que cela ressort du rapport (P. 77 pp. 25 à 26, pt 4.1 à 4.3) et des débats de première instance (jgt., p. 7). Le rapport est limpide et ne laisse aucune place à l’interprétation. Le traitement ambulatoire, qui n’est d’ailleurs pas recommandé par l’expert, a déjà été ordonné par le passé (jugement du Tribunal correctionnel de la Broye et du Nord vaudois, du 9 septembre 2006) et s’est soldé par un échec. L’intrication des troubles mentaux et des problèmes de dépendance aux stupéfiants est telle pour l’appelante (jgt., p. 7), que c’est à bon droit que le Tribunal a ordonné une double mesure institutionnelle comme le permet l’art. 56a al. 2 CP. Il appartiendra ainsi à l’Office d’exécution des peines de placer l’appelante dans l’institution la plus appropriée en cours d’exécution de la mesure, en accord avec le Service de médecine et psychiatrie pénitentiaires (SMPP). L’appelante soutient que l’expert l’aurait « prise en grippe », car il aurait refusé de lui rendre le salut qu’elle lui adressait à l’entrée et à la sortie de l’audience de première instance. Cette assertion est sans fondement et à supposer que cela soit vrai, rien ne permet d’en déduire que l’expert avait un parti pris contre l’expertisée.</w:t>
      </w:r>
    </w:p>
    <w:p>
      <w:r>
        <w:rPr>
          <w:b/>
        </w:rPr>
        <w:t>E. 5.2</w:t>
      </w:r>
    </w:p>
    <w:p>
      <w:r>
        <w:t>La mesure institutionnelle doit donc être confirmée.</w:t>
      </w:r>
    </w:p>
    <w:p>
      <w:r>
        <w:rPr>
          <w:b/>
        </w:rPr>
        <w:t>E. 6</w:t>
      </w:r>
    </w:p>
    <w:p>
      <w:r>
        <w:t>Enfin, l’appelante conteste la quotité de la peine, jugée trop sévère.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- 20 -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6.2</w:t>
      </w:r>
    </w:p>
    <w:p>
      <w:r>
        <w:t>La culpabilité de X.________ est lourde. Elle s’en est prise à plusieurs reprises à son compagnon au moyen de tous les objets qui lui passaient sous la main et elle a multiplié les actes de violence sur une relativement courte période. Le fait que la prévenue ait eu une relation très houleuse avec V.________ et que ce dernier se soit probablement également livré à des actes de violence sur elle ne permet pas d’excuser les actes de la prévenue ou d’en minimiser l’importance. L’appelante ne soutient d’ailleurs pas qu’elle devrait bénéficier d’une circonstance atténuante au sens de l’art. 48a CP. A décharge, il sera tenu compte d’une diminution de responsabilité légère à moyenne à dires d’experts. Le parcours de vie difficile de X.________, sa situation de santé, sa vulnérabilité et sa fragilité seront également pris en considération. Procédant à sa propre appréciation, la Cour d’appel considère que la peine privative de liberté de quatorze mois prononcée par les premiers juges est adéquate et doit être confirmée.</w:t>
      </w:r>
    </w:p>
    <w:p>
      <w:r>
        <w:rPr>
          <w:b/>
        </w:rPr>
        <w:t>E. 7</w:t>
      </w:r>
    </w:p>
    <w:p>
      <w:r>
        <w:t>Une erreur de plume s'est glissée au chiffre II du dispositif du Tribunal correctionnel de l'arrondissement de la Broye et du Nord vaudois, en ce sens que la prévenue ne s’est pas rendue coupable de tentative de</w:t>
      </w:r>
    </w:p>
    <w:p>
      <w:r>
        <w:t>- 21 - voies de faits qualifiées, ce que le dispositif omet de constater. Le dispositif sera par conséquent modifié d'office.</w:t>
      </w:r>
    </w:p>
    <w:p>
      <w:r>
        <w:rPr>
          <w:b/>
        </w:rPr>
        <w:t>E. 8</w:t>
      </w:r>
    </w:p>
    <w:p>
      <w:r>
        <w:t>En définitive, l’appel doit être rejeté et l’ordonnance attaquée confirmée. Vu l'issue de la cause, les frais d’appel, constitués de l'émolument de jugement, par 1’940 fr. (art. 21 al. 1 et 2 TFIP [Tarif des frais de procédure et indemnités en matière pénale du 28 septembre 2010; RSV 312.03.1]), ainsi que des frais d’expertise, par 7'000 fr., et de l’indemnité allouée au conseil d’office de X.________, par 2'089 fr. 10, qui correspond à dix heures à 180 fr. et 134 fr. 35, plus TVA, sont mis à la charge de l’appelante qui succombe. X.________ ne sera tenue de rembourser le montant de l’indemnité en faveur de son défenseur d’office que lorsque sa situation financière le permettra (art. 135 al. 4 let. a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