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PE14.019329 vom 2. Dezember 2015</w:t>
      </w:r>
    </w:p>
    <w:p>
      <w:r>
        <w:t>VD Tribunal cantonal, 2015-12-02, FR</w:t>
      </w:r>
    </w:p>
    <w:p>
      <w:r>
        <w:rPr>
          <w:b/>
        </w:rPr>
        <w:t xml:space="preserve">Quelle: </w:t>
      </w:r>
      <w:r>
        <w:t>https://mcp.opencaselaw.ch/entscheid/vd_gerichte_PE14.019329</w:t>
      </w:r>
    </w:p>
    <w:p>
      <w:r>
        <w:t>FR: VD_GERICHTE PE14.019329 du 2 décembre 2015</w:t>
      </w:r>
    </w:p>
    <w:p>
      <w:r>
        <w:t>IT: VD_GERICHTE PE14.019329 del 2 dicembre 2015</w:t>
      </w:r>
    </w:p>
    <w:p>
      <w:pPr>
        <w:pStyle w:val="Heading2"/>
      </w:pPr>
      <w:r>
        <w:t>Erwägungen</w:t>
      </w:r>
    </w:p>
    <w:p>
      <w:r>
        <w:rPr>
          <w:b/>
        </w:rPr>
        <w:t>E. 4</w:t>
      </w:r>
    </w:p>
    <w:p>
      <w:r>
        <w:t>L’appelant paraît également contester l’acquittement de A.D.________ par le premier juge, sans pour autant prendre de conclusion tendant à sa condamnation ou à l’allocation de conclusions civiles. On se limitera dès lors à examiner les arguments dirigés contre sa propre condamnation pour menaces, en relation avec les faits du 28 octobre 2014, le prévenu semblant contester avoir eu l’intention de frapper A.D.________, faisant valoir que son comportement était excusable dès lors qu’il venait de subir un affront.</w:t>
      </w:r>
    </w:p>
    <w:p>
      <w:r>
        <w:t>- 17 -</w:t>
      </w:r>
    </w:p>
    <w:p>
      <w:r>
        <w:rPr>
          <w:b/>
        </w:rPr>
        <w:t>E. 4.1</w:t>
      </w:r>
    </w:p>
    <w:p>
      <w:r>
        <w:t>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Le juge dispose d'un certain pouvoir d'appréciation pour dire si la menace doit être qualifiée de grave. Subjectivement, l'auteur doit avoir l'intention non seulement de proférer des menaces graves, mais aussi d'alarmer ou d'effrayer le destinataire. Le dol éventuel suffit (TF 6B_1009/2014 du 2 avril 2015 consid. 3.1 et les références citées).</w:t>
      </w:r>
    </w:p>
    <w:p>
      <w:r>
        <w:rPr>
          <w:b/>
        </w:rPr>
        <w:t>E. 4.2</w:t>
      </w:r>
    </w:p>
    <w:p>
      <w:r>
        <w:t>En l’occurrence, on ne comprend pas bien si l’appelant conteste encore avoir poursuivi A.D.________ avec un bout de bois à la main. Cela étant, il est établi qu’il avait déjà, deux mois et demi auparavant, frappé son voisin avec un objet similaire, geste qui n’est pas contesté. L’épisode décrit par A.D.________ est donc crédible, d’autant que H.________ précise, dans sa déclaration d’appel, que son comportement était une réaction à un affront. Il importe par conséquent peu que l’appelant ait ou pas eu l’intention de frapper le plaignant ; il n’a pas été jugé pour tentative de lésions corporelles. Le fait de poursuivre son voisin avec un morceau de bois à la main suffit, compte tenu des circonstances, pour constituer un comportement alarmant.</w:t>
      </w:r>
    </w:p>
    <w:p>
      <w:r>
        <w:t>- 18 - Au vu de ce qui précède, la condamnation pour menaces est fondée. Le fait que A.D.________ ait occupé la place de parc de l’appelant ne justifie en rien que celui-ci poursuive son voisin avec un morceau de bois.</w:t>
      </w:r>
    </w:p>
    <w:p>
      <w:r>
        <w:rPr>
          <w:b/>
        </w:rPr>
        <w:t>E. 5</w:t>
      </w:r>
    </w:p>
    <w:p>
      <w:r>
        <w:t>Même si elle n’est pas contestée en tant que telle, la peine, examinée d’office, ne prête pas flanc à la critique. La peine pécuniaire, qui sanctionne en tout cinq altercations, dont une sérieuse agression physique, est adéquate. Le montant de l’amende peut également être confirmé.</w:t>
      </w:r>
    </w:p>
    <w:p>
      <w:r>
        <w:rPr>
          <w:b/>
        </w:rPr>
        <w:t>E. 6</w:t>
      </w:r>
    </w:p>
    <w:p>
      <w:r>
        <w:t>H.________ estime qu’aucune réparation morale n’aurait dû être accordée à A.D.________, dont le comportement constituerait une « provocation permanente », selon ses termes. Il considère en effet, en substance, que A.D.________ doit également assumer sa part de responsabilité dans le litige qui les oppose et fait valoir une faute concurrente du lésé, qui exclurait l’allocation d’une indemnité pour tort moral.</w:t>
      </w:r>
    </w:p>
    <w:p>
      <w:r>
        <w:rPr>
          <w:b/>
        </w:rPr>
        <w:t>E. 6.1</w:t>
      </w:r>
    </w:p>
    <w:p>
      <w:r>
        <w:t>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(TF 6B_486/2015 du 25 mai 2016 consid. 4.1 et les références).</w:t>
      </w:r>
    </w:p>
    <w:p>
      <w:r>
        <w:t>- 19 - Le juge peut, en vertu de l'art. 47 CO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(TF 1C_244/2015 du 7 août 2015 consid. 4.2 et les références citées).</w:t>
      </w:r>
    </w:p>
    <w:p>
      <w:r>
        <w:rPr>
          <w:b/>
        </w:rPr>
        <w:t>E. 6.2</w:t>
      </w:r>
    </w:p>
    <w:p>
      <w:r>
        <w:t>En l’occurrence, il ne s’agit pas de juger de l’ensemble des relations de voisinage des parties à la présente cause mais seulement de déterminer si les faits pour lesquels l’appelant a été condamné justifient l’allocation d’une indemnisation pour tort moral. On est en présence, ici, d’injures répétées, d’un coup de planche donné sur le poignet ayant entraîné un arrêt de travail et de menaces également exprimées avec un bout de bois. Le seul comportement imputé au plaignant est d’avoir osé saluer son voisin. Or, même une salutation sur un ton ironique, ce qui n’est au demeurant pas établi, ne constituerait pas une justification aux insultes et au coup donné. Par ailleurs, en ce qui concerne le dernier épisode, s’il est vrai que le plaignant a utilisé la place de parc du prévenu, ce qui était maladroit et peu adéquat compte tenu du conflit préexistant, l’appelant était en train de déménager et le plaignant n’avait pas l’intention de le léser. Au vu de ce qui précède, une réparation morale se justifie. Le montant alloué de 1'000 fr. est raisonnable et nullement excessif.</w:t>
      </w:r>
    </w:p>
    <w:p>
      <w:r>
        <w:rPr>
          <w:b/>
        </w:rPr>
        <w:t>E. 7</w:t>
      </w:r>
    </w:p>
    <w:p>
      <w:r>
        <w:t>S’agissant des prétentions de G.________ SA, H.________ soutient que le dommage invoqué par A.D.________ n’est pas établi, ni dans son principe ni dans sa quotité. L’appelant fait ainsi valoir que le plaignant aurait tiré argument du litige les opposant pour invoquer une incapacité de travail pendant plusieurs mois, qu’on ignore s’il a concrètement perçu son salaire durant cette période, si les indemnités de</w:t>
      </w:r>
    </w:p>
    <w:p>
      <w:r>
        <w:t>- 20 - l’assurance en ont été déduites et à quoi correspondent les frais de traitement.</w:t>
      </w:r>
    </w:p>
    <w:p>
      <w:r>
        <w:rPr>
          <w:b/>
        </w:rPr>
        <w:t>E. 7.1</w:t>
      </w:r>
    </w:p>
    <w:p>
      <w:r>
        <w:t>Selon l’art. 115 al. 1 CPP, on entend par lésée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à savoir le détenteur d'un bien juridique pénalement protégé d'une atteinte ou d'une mise en danger (TF 6B_675/2013 du 9 janvier 2014 consid. 5.2 et les références citées ; Perrier, in : Kuhn/Jeanneret [éd.], Commentaire romand, op. cit., nn. 6 et 8 ad art. 115 CPP et les arrêts cités ; cf. également les arrêts cités par Garbarski, in : Le lésé et la partie plaignante en procédure pénale : état des lieux de la jurisprudence récente, SJ 2012 II p. 123, TF 1B_553/2012 du 12 novembre 2012 consid. 1.2.2 et TF 1B_678/2011 du 30 janvier 2012 consid. 2.1). Les personnes subissant un préjudice indirect n'ont pas le statut de lésé et sont donc des tiers n'ayant pas accès au statut de partie à la procédure (Jeanneret/Kuhn, Précis de procédure pénale, Berne 2013, n° 7017). Il en va notamment ainsi du cessionnaire, des personnes subrogées ex lege ou ex contractu, de l'actionnaire ou de l'ayant droit économique d'une personne morale, en cas d'infraction commise au détriment de celle-ci (TF 6B_252/2013 du 14 mai 2013 consid. 2.1 et les références citées). Ainsi, en principe, seul le lésé peut émettre des prétentions civiles dans le procès pénal (art. 122 CPP). Toutefois, les droits civils du lésé peuvent passer à des tiers, notamment en cas de subrogation légale (art. 121 al. 2 CPP). Tel est le cas des assurances sociales et privées, en vertu des art. 72 LPGA (loi fédérale sur la partie générale du droit des assurances sociales du 6 octobre 2000 ; RS 830.1) et 72 LCA (loi fédérale sur le contrat d’assurance du 1er janvier 2011 ; RS 221.229.1). Par conséquent, en d’autres termes, l’assureur peut réclamer la réparation du</w:t>
      </w:r>
    </w:p>
    <w:p>
      <w:r>
        <w:t>- 21 - préjudice du lésé direct qu’il a indemnisé, grâce à la subrogation légale. Il ne peut en revanche pas réclamer la réparation d’un dommage propre. En matière de droit du travail et selon l’art. 324a al. 1 CO, si le travailleur est empêché de travailler sans faute de sa part pour des cause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rPr>
          <w:b/>
        </w:rPr>
        <w:t>E. 7.2</w:t>
      </w:r>
    </w:p>
    <w:p>
      <w:r>
        <w:t>G.________ SA a pris des conclusions civiles à concurrence de 3'343 fr. 95, soit le montant qui lui a été alloué. Elle indique être intervenue comme assureur accident LAA (loi fédérale sur l’assurance- accident du 20 mars 1981 ; RS 832.20) et assureur complémentaire LCA, sa prétention comportant 1'529 fr. 95 à titre de frais de traitement LAA, 707 fr. à titre de frais de traitement LCA et 1'107 fr. à titre d’indemnités journalières. Les pièces justificatives ont été produites sous pièce 36/3. On constate tout d’abord que le montant de 707 fr. correspond à des indemnités journalières et non à des frais de traitement. Les sommes de 1'107 fr. et 707 fr. sont corroborées par des courriers adressés par G.________ SA à son preneur d’assurance, c’est-à-dire l’employeur de A.D.________. Elles concernent respectivement des indemnités versées pour la période du 19 au 24 août 2014 (LAA) et du 17 au 24 août 2014 (LCA). L’appelant a donc raison lorsqu’il fait valoir que le dommage de A.D.________ n’est pas établi sur ce point : il résulte en effet des déclarations du plaignant à l’audience d’appel qu’il a perçu normalement son salaire de son employeur, malgré son absence d’une semaine due à son incapacité de travail, conformément à l’art. 324a CO. Ainsi, dès lors que G.________ SA réclame la réparation d’un dommage indirect, soit celui</w:t>
      </w:r>
    </w:p>
    <w:p>
      <w:r>
        <w:t>- 22 - qu’elle a elle-même subi, il ne peut être directement réparé. G.________ SA devra donc être renvoyée à agir devant le juge civil sur ce point. Il en va différemment des frais de traitement, justifiés par pièces, qui représentent effectivement un montant total de 1'529 fr. 95 : -Une facture d’hôpital pour un traitement dispensé le 22 août 2014, de 375 fr. 90 ; -Une facture de médecin pour un traitement dispensé le 6 novembre 2014, de 82 fr. 70 (traitement lié au dommage subi par le plaignant dès lors que le numéro de cas figurant sur la pièce est le même que celui figurant sur les autres documents) ; -Une facture d’hôpital pour un traitement dispensé le 16 août 2014, de 375 fr. 90 ; -Une facture de médecin pour un traitement dispensé du 19 août au 22 septembre 2014, de 142 francs ; -Une facture de physiothérapeute pour un traitement dispensé du 2 au 19 septembre 2014, de 456 francs ; -Une facture de pharmacie pour des médicaments fournis du 26 au 28 août 2014, de 97 fr. 45. Ces factures de prestataires de soin correspondent bien à un dommage subi par A.D.________, en relation avec les faits et, partant, H.________ doit en rembourser l’équivalent à G.________ SA, qui les a pris en charge.</w:t>
      </w:r>
    </w:p>
    <w:p>
      <w:r>
        <w:rPr>
          <w:b/>
        </w:rPr>
        <w:t>E. 7.3</w:t>
      </w:r>
    </w:p>
    <w:p>
      <w:r>
        <w:t>Compte tenu des éléments qui précèdent, l’appel doit être partiellement admis sur ce point, en ce sens que H.________ doit payer 1'529 fr. 95 à G.________ SA, celle-ci étant renvoyée à agir devant le juge civil pour le surplus.</w:t>
      </w:r>
    </w:p>
    <w:p>
      <w:r>
        <w:rPr>
          <w:b/>
        </w:rPr>
        <w:t>E. 8</w:t>
      </w:r>
    </w:p>
    <w:p>
      <w:r>
        <w:t>L’appelant conteste également devoir des dépens pénaux aux époux B.D.________ et A.D.________, estimant que le premier juge n’a pas suffisamment tenu compte du fait que ceux-ci n’avaient que partiellement obtenu gain de cause.</w:t>
      </w:r>
    </w:p>
    <w:p>
      <w:r>
        <w:t>- 23 -</w:t>
      </w:r>
    </w:p>
    <w:p>
      <w:r>
        <w:rPr>
          <w:b/>
        </w:rPr>
        <w:t>E. 8.1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w:t>
      </w:r>
    </w:p>
    <w:p>
      <w:r>
        <w:t>- 24 -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8.2</w:t>
      </w:r>
    </w:p>
    <w:p>
      <w:r>
        <w:t>En l’espèce, alors que les plaignants avaient demandé une indemnité à hauteur de 9'353 fr. 25, correspondant à 28h15 de travail au tarif horaire de 300 fr., débours et TVA en sus, le premier juge leur a alloué la somme de 6'000 fr. pour toutes choses au motif notamment que le nombre d’heures de travail était excessif, s’agissant des temps de préparation et conférence ainsi que des vacations facturées au-delà du forfait habituellement admis. Le Tribunal de police a en outre pris en considération que les plaignants n’avaient eu que partiellement gain de cause, le prévenu ayant été libéré sur certains points. Savoir si la réduction de l’indemnité, qui se justifiait dans son principe, est suffisante est une question d’appréciation. Sur les neuf cas de l’acte d’accusation, cinq ont été retenus ; le prévenu a été libéré des quatre autres, qui concernaient des vols de courrier et des dommages à la propriété. Une réduction de moitié serait dès lors excessive, même si les prétentions en indemnisation morale des plaignants ont aussi dans une large mesure été réduites. Compte tenu de l’ensemble des circonstances, le montant de l’indemnité finalement retenu est adéquat.</w:t>
      </w:r>
    </w:p>
    <w:p>
      <w:r>
        <w:rPr>
          <w:b/>
        </w:rPr>
        <w:t>E. 9</w:t>
      </w:r>
    </w:p>
    <w:p>
      <w:r>
        <w:t>En définitive, l’appel de H.________ doit être très partiellement admis et le jugement réformé dans le sens des considérants qui précèdent.</w:t>
      </w:r>
    </w:p>
    <w:p>
      <w:r>
        <w:t>- 25 - Vu l’issue de la cause, les frais de la procédure d’appel, par 2’270 fr. (art. 21 al. 1 et 2 TFIP), constitués en l’espèce du seul émolument de jugement, seront mis pour quatre cinquièmes, soit par 1’816 fr., à charge de H.________, qui succombe en grande partie, le solde étant laissé à la charge de l’Etat. Me Geneviève Chapuis Emery, conseil de choix de B.D.________ et A.D.________, a requis 5'799 fr. 90 à titre de juste indemnité pour les dépenses obligatoires occasionnées par la procédure d’appel, ce qui correspond à 14h08 de travail au taux horaire de 350 fr. (P. 65). En l’occurrence, tant le nombre d’heures que le taux horaire sont excessifs vu l’ampleur relative du dossier et le peu de difficultés que présentait l’affaire. On relèvera également que les déterminations sur la déclaration d’appel – pour lesquelles Me Geneviève Chapuis Emery réclame un montant de quelque 2'000 francs – ont été spontanément produites. Une réduction s’impose donc et il y a lieu de fixer l’indemnité allouée aux plaignants à 2'000 fr.,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