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PE14.019124 vom 12. September 2016</w:t>
      </w:r>
    </w:p>
    <w:p>
      <w:r>
        <w:t>VD Tribunal cantonal, 2016-09-12, FR</w:t>
      </w:r>
    </w:p>
    <w:p>
      <w:r>
        <w:rPr>
          <w:b/>
        </w:rPr>
        <w:t xml:space="preserve">Quelle: </w:t>
      </w:r>
      <w:r>
        <w:t>https://mcp.opencaselaw.ch/entscheid/vd_gerichte_PE14.019124</w:t>
      </w:r>
    </w:p>
    <w:p>
      <w:r>
        <w:t>FR: VD_GERICHTE PE14.019124 du 12 septembre 2016</w:t>
      </w:r>
    </w:p>
    <w:p>
      <w:r>
        <w:t>IT: VD_GERICHTE PE14.019124 del 12 settembre 2016</w:t>
      </w:r>
    </w:p>
    <w:p>
      <w:pPr>
        <w:pStyle w:val="Heading2"/>
      </w:pPr>
      <w:r>
        <w:t>Erwägungen</w:t>
      </w:r>
    </w:p>
    <w:p>
      <w:r>
        <w:rPr>
          <w:b/>
        </w:rPr>
        <w:t>E. 4</w:t>
      </w:r>
    </w:p>
    <w:p>
      <w:r>
        <w:t>L’appelant requiert que l’accès au dossier soit refusé à L.________ s’agissant de l’infraction à la LEtr et que celui-ci ne puisse pas participer aux débats sur cet aspect. En l’espèce, l’appelant a attendu le 15 juin 2016 pour présenter une requête tendant à la limitation partielle de l’accès au dossier au plaignant. Les parties avaient alors déjà assisté à 4h30 d’au- dience et eu connaissance de l’intégralité des éléments évoqués. Le Tribunal de police a écarté cette requête par prononcé du 28 juin 2016. L’appelant conclut à la réforme du jugement entrepris, et non à son annulation, de sorte que la Cour de céans ne discerne pas en quoi le dispositif du jugement attaqué devrait être réformé si elle devait considérer cette conclusion comme recevable. Cela étant, l’appelant semble craindre que des pièces du dossier relatives à l’infraction LEtr rendues accessibles au plaignant soient utilisées dans le cadre d’une procédure prud’homale. Si l’appelant redoutait de ce fait un préjudice irréparable, il lui appartenait de recourir immédiatement contre le prononcé incident du 28 juin 2016 par lequel le Tribunal de police a rejeté sa requête tendant à la limitation partielle de l’accès au dossier au plaignant (Moreillon/Parein-Reymond, Petit commentaire du Code de procédure pénale, 2e éd., Bâle 2016, n. 5 ad art. 65 CPP). L.________ ayant désormais eu accès au dossier, cette conclusion est, de fait, sans objet à ce stade et doit être rejetée.</w:t>
      </w:r>
    </w:p>
    <w:p>
      <w:r>
        <w:rPr>
          <w:b/>
        </w:rPr>
        <w:t>E. 5</w:t>
      </w:r>
    </w:p>
    <w:p>
      <w:r>
        <w:t>Reprochant au Tribunal de police d’avoir violé le droit, de s'être livré à une constatation incomplète et erronée des faits, de s’être arbitrairement écarté de sa version des faits et d'avoir enfreint la présomption d'innocence, l’appelant conteste s’être rendu coupable d’infraction à la LEtr, de diffamation et d’injure. Il fait valoir que le témoignage d’E.________ a été écarté à tort par la première juge, qu’il a</w:t>
      </w:r>
    </w:p>
    <w:p>
      <w:r>
        <w:t>- 17 - hébergé le plaignant chez lui par bonté, que celui-ci n’a pas travaillé pour lui, qu’il s’était senti trahi par le plaignant et que celui-ci l’avait lui-même traité d’« enculai de merde – mitomane de merde – enculait fotiti » dans un message qu’il lui avait envoyé en 2013.</w:t>
      </w:r>
    </w:p>
    <w:p>
      <w:r>
        <w:rPr>
          <w:b/>
        </w:rPr>
        <w:t>E. 5.1</w:t>
      </w:r>
    </w:p>
    <w:p>
      <w:r>
        <w:t>; TF 2C_783/2012 du 10 octobre 2012 consid. 2.1 ; TF 2C_357/2009 du 16 novembre 2009 consid. 5.3).</w:t>
      </w:r>
    </w:p>
    <w:p>
      <w:r>
        <w:rPr>
          <w:b/>
        </w:rPr>
        <w:t>E. 5.2</w:t>
      </w:r>
    </w:p>
    <w:p>
      <w:r>
        <w:t>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 Le terme “employer”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w:t>
      </w:r>
    </w:p>
    <w:p>
      <w:r>
        <w:t>- 19 -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L’art. 91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(TF 2C_1039/2013 du 16 avril 2014 consid.</w:t>
      </w:r>
    </w:p>
    <w:p>
      <w:r>
        <w:rPr>
          <w:b/>
        </w:rPr>
        <w:t>E. 5.3.1</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 amende au plus. L'inculpé n'encourra aucune peine s'il prouve que les allégations qu'il a articulées ou propagées sont conformes à la vérité ou qu'il avait des raisons sérieuses de les tenir de bonne foi pour vraies (art. 173 ch. 2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w:t>
      </w:r>
    </w:p>
    <w:p>
      <w:r>
        <w:t>- 20 - IV 112 consid. 2.1).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C’est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consid. 3a ; ATF 122 IV 311, JdT 1998 IV 70 ; ATF 106 IV 115 consid. 2a, JdT 1981 IV 104). Si l’auteur établit la vérité, il doit être acquitté (Dupuis et al., Petit Commentaire du Code pénal, Bâle 2012,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5.3.2</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w:t>
      </w:r>
    </w:p>
    <w:p>
      <w:r>
        <w:t>- 21 - entité juridique (ATF 132 IV 112 consid. 2.1 p. 115; ATF 128 IV 53 consid. la p. 58).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2010, n. 10 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p. 272).</w:t>
      </w:r>
    </w:p>
    <w:p>
      <w:r>
        <w:rPr>
          <w:b/>
        </w:rPr>
        <w:t>E. 5.3.3</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op. cit., n. 42 ad art.173 CP).</w:t>
      </w:r>
    </w:p>
    <w:p>
      <w:r>
        <w:rPr>
          <w:b/>
        </w:rPr>
        <w:t>E. 5.4.1</w:t>
      </w:r>
    </w:p>
    <w:p>
      <w:r>
        <w:t>L’appelant conteste les faits retenus à sa charge et affirme que la première juge a retenu à tort les déclarations des témoins Z.________ et A.________. Or, les différents éléments permettant de fonder la culpabilité du prévenu ont été examinés en détail par le Tribunal de police. En procédant à sa propre appréciation, la Cour de céans considère, tout comme la première juge, qu’il n’y a pas lieu de douter de la crédibilité et de la sincérité du plaignant dont les déclarations ont été confirmées par</w:t>
      </w:r>
    </w:p>
    <w:p>
      <w:r>
        <w:t>- 22 - deux témoins, ce malgré les dénégations du prévenu. L'appréciation des preuves à laquelle la première juge a procédé, complète et convaincante, ne prête aucunement le flanc à la critique et peut être reprise, par adoption de motifs. En effet, s’agissant du cas 1 de l’acte d’accusation, les déclarations du plaignant sont corroborées par celles de sa compagne Z.________ et par celles de son ami A.________, qui ont tous deux affirmé qu’L.________ avait travaillé pour le prévenu, chez qui il était nourri et logé (Jgt pp. 20 et 21). Z.________ a pour sa part précisé que le prévenu avait fait des démarches en vue de l’obtention d’une carte AVS pour L.________ et que celui-ci l’avait reçue. Si le témoin E.________, qui a travaillé comme aide-jardinier pour le prévenu de février à août 2012 et de février à août 2013, a déclaré qu’il n’était jamais allé sur un chantier avec L.________ (Jgt p. 27), il est contredit par le prévenu qui a pour sa part admis que le plaignant l’avait accompagné à deux reprises sur les chantiers pour l’assister (PV aud. 3 p. 2). Le témoin E.________ a au surplus déclaré qu’il était parti en vacances durant une à deux semaines en été 2012, période durant laquelle le plaignant dit avoir travaillé pour le prévenu (Jgt p. 27). X.________ a en outre reconnu qu’il avait fait une demande à l’AVS pour le plaignant, qu’il lui avait donné occasionnellement de l’argent, qu’il ignorait s’il avait un permis de travail et qu’il ne lui avait jamais demandé de lui montrer un tel permis (PV aud. 3 p. 2 et Jgt p. 7). Dans ces circonstances, il n’y a aucune raison de mettre en doute la version des faits du plaignant et des témoins Z.________ et E.________. Il convient en conséquence de s’en tenir aux faits retenus à la charge de X.________ et de faire abstraction du témoignage d’E.________. Il y a dès lors lieu de retenir, à l’instar de la première juge, qu’L.________ a travaillé pour l’entreprise de X.________, sans permis de travail, aux dates mentionnées au cas 1 de l’acte d’accusation, travail rémunéré en argent et en nature. Concernant l’infraction de diffamation, l’appelant a admis avoir posté sur Facebook les deux messages incriminés au cas 2 de l’acte d’accusation. Quant aux injures reprochées au cas 3 de l’acte d’accusation, l’appelant les conteste. La Cour de céans ne voit toutefois</w:t>
      </w:r>
    </w:p>
    <w:p>
      <w:r>
        <w:t>- 23 - aucun motif de remettre en cause les déclarations du témoin Z.________ à qui le plaignant a répété les propos tenus par le prévenu immédiatement après les faits et qui a pu constater par elle-même l’état de son compagnon et de sa fille de 4 ans à ce moment-là (Jgt p. 22). Au vu de ce qui précède, la Cour de céans considère que le prévenu a été condamné sur la base de preuves suffisantes et sans violation de la présomption d’innocence. Partant, c’est à juste titre que les faits décrits ont été retenus à la charge de X.________ par la première juge dont l’appréciation des preuves est adéquate et peut être confirmée.</w:t>
      </w:r>
    </w:p>
    <w:p>
      <w:r>
        <w:rPr>
          <w:b/>
        </w:rPr>
        <w:t>E. 5.4.2</w:t>
      </w:r>
    </w:p>
    <w:p>
      <w:r>
        <w:t>L’appelant conclut à sa libération des chefs de prévention d’infraction à la LEtr, de diffamation et d’injure. L’appréciation des preuves du tribunal de police étant intégralement confirmée par la Cour de céans, on doit admettre, à l’instar de la première juge, que les éléments consti- tutifs de ces infractions sont réalisés. La Cour se réfère intégralement à l’appréciation de la première juge, complète et convaincante, qu’elle fait sienne (art. 82 al. 4 CPP ; jugement pp. 44 à 51). Il résulte en effet des faits retenus ci-dessus que la qualité d’employeur au sens de l’art. 117 LEtr doit être reconnue à l’appelant et qu’il lui incombait de vérifier si le travailleur à son service, en l’occurrence le plaignant, bénéficiait d’un permis de travail. C’est donc à juste titre que la première juge a retenu que le prévenu a agi à tout le moins par dol éventuel. Sa condamnation pour violation de l’art. 117 al. 1 LEtr doit ainsi être confirmée. Hormis le fait qu’il soutient qu’il ne peut y avoir de concours entre les infractions de diffamation et d’injure, l’appelant ne soulève aucun grief en relation avec les conditions de réalisation de ces infractions. Concernant l’infraction de diffamation, les propos utilisés par le prévenu dans les deux messages incriminés font apparaître le plaignant, clairement reconnaissable, comme une personne malhonnête et méprisable qui aurait commis une infraction pénale et qui risquerait d’aller en prison. La preuve de la vérité n’a pour le surplus pas été rapportée par</w:t>
      </w:r>
    </w:p>
    <w:p>
      <w:r>
        <w:t>- 24 - le prévenu. Il s’ensuit que l’infraction de diffamation est réalisée, de sorte que la condamnation de l’appelant pour ce chef d’accusation doit être confirmée. Quant à l’injure, l’appelant ne semble pas contester que ses propos soient attentatoires à l’honneur. Les termes de « chien », d’ « espèce de voleur » et d’ « imbécile » utilisés par l’appelant, manifestement péjoratifs et dénigrants, excèdent ce qui est acceptable et sont propres à conduire un auditeur non prévenu à jeter un regard mépri- sable sur la personne du plaignant. Le sentiment de trahison invoqué par l’appelant et le fait que le plaignant l’ait lui-même affublé de paroles peu amènes en 2013 ne changent rien à ce constat. L’injure est certes subsidiaire à la diffamation, mais le concours peut être retenu lorsque l’auteur s’adresse à la fois à la personne visée et à des tiers (Moreillon/Parein-Reymond, op. cit., n. 54 ad. Art 173 CP ; Corboz, op. cit., n. 123 ad art. 173 CP). L’appelant doit donc également être reconnu coupable d’injure au sens de l’art. 177 al. 1 CP. Mal fondés, les griefs de l’appelant doivent être rejetés.</w:t>
      </w:r>
    </w:p>
    <w:p>
      <w:r>
        <w:rPr>
          <w:b/>
        </w:rPr>
        <w:t>E. 6</w:t>
      </w:r>
    </w:p>
    <w:p>
      <w:r>
        <w:t>L’appelant sollicite subsidiairement une réduction de sa peine à 10 jours-amende à 30 fr. le jour, assortie du sursis et sans sanction immédiate.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6.1.2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t>- 26 - Selon la jurisprudence du Tribunal fédéral, le montant du jour- amende doit être fixé en partant du revenu que l’auteur réalise en moyenne quotidiennement, quelle que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L’énumération de l’art. 34 al. 2 CP n’est pas exhaustive. Ainsi, peuvent entrer en considération les charges auxquelles l’auteur ne peut se soustraire, ainsi que d’autres circonstances génératrices de frais, tels les dépens, les dommages et intérêts ou la réparation qui découlent de l’infraction pour laquelle l’auteur est condamné ou les frais de justice (Dupuis et al., op. cit., n. 26 ad art. 34 CP).</w:t>
      </w:r>
    </w:p>
    <w:p>
      <w:r>
        <w:rPr>
          <w:b/>
        </w:rPr>
        <w:t>E. 6.1.3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- 27 -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6.1.4</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w:t>
      </w:r>
    </w:p>
    <w:p>
      <w:r>
        <w:rPr>
          <w:b/>
        </w:rPr>
        <w:t>E. 6.1.5</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t>- 28 -</w:t>
      </w:r>
    </w:p>
    <w:p>
      <w:r>
        <w:rPr>
          <w:b/>
        </w:rPr>
        <w:t>E. 6.2</w:t>
      </w:r>
    </w:p>
    <w:p>
      <w:r>
        <w:t>La première juge a infligé au prévenu une peine de 90 jours- amende à 50 fr. le jour, avec sursis pendant 3 ans, ainsi qu’une amende de 800 fr., la peine privative de liberté de substitution étant de 8 jours. En l’espèce, le prévenu s’est rendu coupable d’infraction à la LEtr, de diffamation et d’injure. Les infractions sont en concours. A charge, on retiendra, outre le concours d’infractions et ses antécédents, la récidive spéciale, le prévenu ayant déjà été condamné pour diffamation et pour infraction à la LEtr, ainsi que l’attitude du prévenu qui a toujours nié les faits et qui a mis en cause la réputation du plaignant à plusieurs reprises de manière totalement gratuite et sans égard aux conséquences que pouvaient avoir ses propos écrits et oraux. A décharge, il sera tenu compte du fait que le prévenu a présenté ses excuses au plaignant lors de l’audience de conciliation qui s’est tenue le 7 mai 2015 devant le Ministère public et qu’il a posté un message de rétractation sur son mur Facebook le 3 novembre 2015. Tout bien considéré, la peine pécuniaire de 90 jours-amende, conforme aux principes légaux à charge et à décharge et à la culpabilité de X.________, réprime adéquatement le comportement fautif du prévenu. En revanche, la quotité du jour-amende fixée à 50 fr. est trop élevée au vu de la situation financière du prévenu. X.________, dont l’épouse n’exerce aucune activité lucrative, réalise un revenu mensuel net de 4'500 fr., dont il faut déduire le minimum vital du couple de 1'700 fr., la contribution d’entretien de 800 fr. versée à son fils, ainsi que les cotisations à l’assurance-maladie du couple et les charges hypothétiques d’impôts. Dans ces conditions, la valeur du jour-amende doit être réduite à 30 francs. Le jugement doit ainsi être modifié dans ce sens. Enfin, la peine pourra être assortie du sursis dont X.________ remplit les conditions. On ne saurait toutefois ignorer les antécédents du prévenu, de sorte qu’un délai d’épreuve de 3 ans, dont la durée n’est pas contestée, s'avère nécessaire pour atteindre le but d'amendement durable recherché. Le délai d’épreuve de 3 ans, conforme au droit fédéral, peut donc également être confirmé.</w:t>
      </w:r>
    </w:p>
    <w:p>
      <w:r>
        <w:t>- 29 - L’amende prononcée en première instance constitue une sanction immédiate. Au vu des fautes commises, de la peine pécuniaire avec sursis pendant 3 ans infligée et de la situation financière du prévenu, le prononcé d'une amende de 800 fr. convertible en une peine privative de liberté de huit jours, nombre de jours correspondant au taux de conversion « standard » de l’amende de 100 fr. pour un jour de privation de liberté (Dupuis et al., op. cit., n.9 ad art. 106 CP), se justifie pleinement à titre de sanction immédiate. L’appel doit donc être rejeté sur ce point.</w:t>
      </w:r>
    </w:p>
    <w:p>
      <w:r>
        <w:rPr>
          <w:b/>
        </w:rPr>
        <w:t>E. 7</w:t>
      </w:r>
    </w:p>
    <w:p>
      <w:r>
        <w:t>L’appelant demande que l’indemnité au sens de l’art. 429 CPP allouée au plaignant en première instance soit limitée aux opérations effectuées jusqu’au 21 mai 2015.</w:t>
      </w:r>
    </w:p>
    <w:p>
      <w:r>
        <w:rPr>
          <w:b/>
        </w:rPr>
        <w:t>E. 7.1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(art. 433 al. 2 CPP).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w:t>
      </w:r>
    </w:p>
    <w:p>
      <w:r>
        <w:t>- 30 -</w:t>
      </w:r>
    </w:p>
    <w:p>
      <w:r>
        <w:rPr>
          <w:b/>
        </w:rPr>
        <w:t>E. 7.2</w:t>
      </w:r>
    </w:p>
    <w:p>
      <w:r>
        <w:t>En l’espèce, la première juge a fixé l’indemnité due au plaignant par le prévenu à titre de dépens pénaux en application de l’art. 433 CPP à 6'480 fr., TVA et débours compris. L’appelant requiert que l’indemnité allouée au plaignant soit limitée aux opérations effectuées jusqu’au 21 mai 2015, jour où il a fait une proposition transactionnelle au plaignant. On ne saurait, comme le soutient l’appelant, s’en tenir aux opérations effectuées jusqu’au 21 mai 2015, l’indemnité allouée devant couvrir toutes les démarches nécessaires et adéquates entreprises par le conseil du plaignant pour faire valoir ses droits. Au vu de ces éléments et sur la base de la liste des opérations produite en première instance (P. 52/12), le montant de 6'480 fr., TVA et débours compris, correspondant à 24 heures d’activité d’avocat, paraît justifié et adéquat pour l’exercice raisonnable de la défense du plaignant. Ce moyen doit donc être rejeté.</w:t>
      </w:r>
    </w:p>
    <w:p>
      <w:r>
        <w:rPr>
          <w:b/>
        </w:rPr>
        <w:t>E. 8</w:t>
      </w:r>
    </w:p>
    <w:p>
      <w:r>
        <w:t>L’appelant requiert enfin que les frais de première instance soient mis à sa charge à concurrence de 500 fr. seulement. En vertu de l’art. 426 al. 1 CPP, le prévenu supporte les frais de procédure s’il est condamné. En l’espèce, la condamnation de l’appelant est confirmée et l’appel n’est que très partiellement admis s’agissant du montant du jour-amende. Il n’y a dès lors pas lieu de modifier la réduction des frais de première instance de l’ordre d’un cinquième opérée par la première juge en raison de l’abandon du chef d’accusation de menaces, laquelle apparaît au demeurant généreuse.</w:t>
      </w:r>
    </w:p>
    <w:p>
      <w:r>
        <w:rPr>
          <w:b/>
        </w:rPr>
        <w:t>E. 9</w:t>
      </w:r>
    </w:p>
    <w:p>
      <w:r>
        <w:t>En définitive, l’appel interjeté par X.________ doit être très partiellement admis et le jugement entrepris réformé au chiffre III de son dispositif dans le sens des considérants. La condamnation du prévenu, assisté d’un défenseur de choix, est pour l’essentielle confirmée et l’appel n’est que très partiellement</w:t>
      </w:r>
    </w:p>
    <w:p>
      <w:r>
        <w:t>- 31 - admis, de sorte qu’il n’y a pas matière à indemnisation en application de l’art. 429 CPP. L’appelant n’a au surplus pas soulevé ce point en appel. L.________, intimé dans la procédure d’appel, a conclu à l’octroi d’une indemnité pour les dépenses obligatoires occasionnées par la procédure d’appel (art. 433 CPP). Les conditions d’octroi d’une telle indemnité étant réalisées, il y a lieu, sur le principe, de faire droit à cette conclusion. Me Nicolas Perret a produit une liste des opérations (P. 70) faisant état de 7 heures et 45 minutes d’activité, y compris 4 heures pour l’audience d’appel. Le temps allégué apparaît excessif dès lors que Me Nicolas Perret n’a pas déposé de déterminations écrites dans le cadre de la procédure d’appel et qu’il avait déjà acquis une parfaite connaissance du dossier en première instance. Tout bien considéré, il convient d’arrêter le temps nécessaire à la défense des intérêts du plaignant pour la procé- dure d’appel à 5 heures, temps de déplacement à l’audience et audience d’appel compris. Au tarif horaire de 250 fr., l’indemnité allouée à Me Nicolas Perret sera ainsi arrêtée à 1’250 fr., TVA comprise, et mise à la charge du prévenu qui succombe. Vu l’issue de la cause, les frais de la procédure d’appel, constitués de l’émolument du présent jugement, par 3’120 fr. (art. 21 al. 1 TFIP [Tarif des frais de procédure et indemnités en matière pénale du 28 septembre 2010 ; RSV 312.03.1]) doivent être mis par neuf dixièmes à la charge de X.________, le solde étant laissé à la charge de l’Etat.</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