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PE14.018501 vom 25. September 2014</w:t>
      </w:r>
    </w:p>
    <w:p>
      <w:r>
        <w:t>VD Tribunal cantonal, 2014-09-25, FR</w:t>
      </w:r>
    </w:p>
    <w:p>
      <w:r>
        <w:rPr>
          <w:b/>
        </w:rPr>
        <w:t xml:space="preserve">Quelle: </w:t>
      </w:r>
      <w:r>
        <w:t>https://mcp.opencaselaw.ch/entscheid/vd_gerichte_PE14.018501</w:t>
      </w:r>
    </w:p>
    <w:p>
      <w:r>
        <w:t>FR: VD_GERICHTE PE14.018501 du 25 septembre 2014</w:t>
      </w:r>
    </w:p>
    <w:p>
      <w:r>
        <w:t>IT: VD_GERICHTE PE14.018501 del 25 settembre 2014</w:t>
      </w:r>
    </w:p>
    <w:p>
      <w:pPr>
        <w:pStyle w:val="Heading2"/>
      </w:pPr>
      <w:r>
        <w:t>Erwägungen</w:t>
      </w:r>
    </w:p>
    <w:p>
      <w:r>
        <w:rPr>
          <w:b/>
        </w:rPr>
        <w:t>E. 3</w:t>
      </w:r>
    </w:p>
    <w:p>
      <w:r>
        <w:t>a) Le recourant conteste implicitement le risque de réitération (art. 221 al. 1 let. c CPP).</w:t>
      </w:r>
    </w:p>
    <w:p>
      <w:r>
        <w:t>- 4 -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c) En l’espèce, le recourant allègue pour l’essentiel qu’il ne pouvait pas rester de marbre après s’être fait « gazer », qu’il n’est pas dangereux et que s’il n’avait pas été alcoolisé, rien ne serait advenu. Il considère qu’il s’agit, en définitive, d’un malentendu qui n’arrivera plus. A l’inverse de l’opinion exprimée par le recourant, force est de constater que le pronostic est défavorable s’agissant de son comportement futur et que le risque de récidive est manifestement réalisé en l’espèce. On relèvera tout d’abord que le casier judiciaire de N.________ mentionne quatre condamnations, prononcées entre septembre 2008 et juin 2012, la dernière pour émeute, violence ou menaces contre les autorités et les fonctionnaires et lésions corporelles simples. L’intéressé est en outre renvoyé en jugement devant le Tribunal correctionnel de l’arrondissement de l’Est vaudois comme accusé de lésions corporelles simples, agression, rixe, brigandage, injure,</w:t>
      </w:r>
    </w:p>
    <w:p>
      <w:r>
        <w:t>- 5 - opposition aux actes de l’autorité et diverses infractions patrimoniales notamment, à raison de deux actes d’accusation rendus les 16 novembre 2012 et 20 novembre 2013 pour des faits s’étalant entre février 2010 et juin 2013, étant relevé que l’intéressé a ensuite été détenu d’août à novembre 2013. On retiendra enfin que le dossier renferme un rapport d’expertise du 18 juillet 2014 qui fait état d’un risque de récidive et d’une possible aggravation des infractions susceptibles d’être commises par N.________ à l’avenir, en raison de sa pathologie psychiatrique (syndrome de dépendance au cannabis et trouble de la personnalité psychopathique) entraînant des difficultés pour intérioriser les interdits et respecter les règles sociales. Aucune mesure de substitution n’apparaît en outre susceptible de prévenir le risque retenu en l’état.</w:t>
      </w:r>
    </w:p>
    <w:p>
      <w:r>
        <w:rPr>
          <w:b/>
        </w:rPr>
        <w:t>E. 4</w:t>
      </w:r>
    </w:p>
    <w:p>
      <w:r>
        <w:t>a) 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N.________ est détenu depuis le 7 septembre 2014. Compte tenu de la gravité des infractions qui lui sont reprochées, le recourant s'expose à une peine d’une durée supérieure à celle de la détention provisoire subie à ce jour. Le principe de la proportionnalité demeure donc respecté.</w:t>
      </w:r>
    </w:p>
    <w:p>
      <w:r>
        <w:t>- 6 -</w:t>
      </w:r>
    </w:p>
    <w:p>
      <w:r>
        <w:rPr>
          <w:b/>
        </w:rPr>
        <w:t>E. 5</w:t>
      </w:r>
    </w:p>
    <w:p>
      <w:r>
        <w:t>Il résulte de ce qui précède que le recours, manifestement mal fondé, doit être rejeté, sans autres échanges d’écritures, et la détention provisoire de N.________ confirmée pour la durée requise de deux mois.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9 septembre 2014 est confirmée. III. Les frais du présent arrêt, par 660 fr. (six cent soixante francs), sont mis à la charge de N.________. IV. Le présent arrêt est exécutoire. Le président : Le greffier : Du L'arrêt qui précède, dont la rédaction a été approuvée à huis clos, est notifié, par l'envoi d'une copie complète, à : - Me Antonella Cereghetti Zwahlen, avocate (pour N.________), - Ministère public central,</w:t>
      </w:r>
    </w:p>
    <w:p>
      <w:r>
        <w:t>- 7 - et communiqué à : - Mme la Présidente du Tribunal des mesures de contrainte, - M. N.________,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