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PE14.018356 vom 16. Dezember 2015</w:t>
      </w:r>
    </w:p>
    <w:p>
      <w:r>
        <w:t>VD Tribunal cantonal, 2015-12-16, FR</w:t>
      </w:r>
    </w:p>
    <w:p>
      <w:r>
        <w:rPr>
          <w:b/>
        </w:rPr>
        <w:t xml:space="preserve">Quelle: </w:t>
      </w:r>
      <w:r>
        <w:t>https://mcp.opencaselaw.ch/entscheid/vd_gerichte_PE14.018356</w:t>
      </w:r>
    </w:p>
    <w:p>
      <w:r>
        <w:t>FR: VD_GERICHTE PE14.018356 du 16 décembre 2015</w:t>
      </w:r>
    </w:p>
    <w:p>
      <w:r>
        <w:t>IT: VD_GERICHTE PE14.018356 del 16 dicembre 2015</w:t>
      </w:r>
    </w:p>
    <w:p>
      <w:pPr>
        <w:pStyle w:val="Heading2"/>
      </w:pPr>
      <w:r>
        <w:t>Erwägungen</w:t>
      </w:r>
    </w:p>
    <w:p>
      <w:r>
        <w:rPr>
          <w:b/>
        </w:rPr>
        <w:t>E. 1</w:t>
      </w:r>
    </w:p>
    <w:p>
      <w:r>
        <w:t>Interjeté en temps utile devant l’autorité compétente contre un prononcé d’irrecevabilité d’opposition rendu par le tribunal de première instance, et déposé par le condamné qui a qualité pour recourir (art. 382 al. 1 CPP), le recours est recevable (CREP 17 septembre 2015/611 ; CREP 30 décembre 2014/924).</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Les délais fixés en jours commencent à courir le jour qui suit leur notification ou l’événement qui les déclenche (art. 90 al. 1 CPP). Si aucune opposition n’est valablement formée, l’ordonnance pénale est assimilée à un jugement entré en force (art. 354 al. 3 CPP).</w:t>
      </w:r>
    </w:p>
    <w:p>
      <w:r>
        <w:t>- 3 - En application de l'art. 356 al. 2 CPP, le tribunal de première instance statue sur la validité de l'ordonnance pénale et de l'opposition. Si l'opposition a été formée tardivement, le tribunal la déclare irrecevable (CREP 17 septembre 2015/611 ; CREP 11 août 2014/499 ; CREP 24 septembre 2014/695). Elle est tardive si elle a été adressée au Ministère public après le délai de dix jours prévu par l'art. 354 al. 1 CPP.</w:t>
      </w:r>
    </w:p>
    <w:p>
      <w:r>
        <w:rPr>
          <w:b/>
        </w:rPr>
        <w:t>E. 2.2</w:t>
      </w:r>
    </w:p>
    <w:p>
      <w:r>
        <w:t>En l’espèce, il ressort de l’ordonnance pénale du 5 septembre 2014 que celle-ci a été remise au recourant le même jour en main propre. C’est à tort que l’intéressé conteste ce fait, qui est attesté par le procès- verbal de notification qu’il a signé le 5 septembre 2014. L’opposition formée le 27 novembre 2015 est ainsi manifestement tardive au regard de l’art. 354 al. 1 CPP. C’est donc à bon droit que le Tribunal de police de l’arrondissement de La Côte a déclaré l’opposition irrecevable et a constaté que l’ordonnance pénale du 5 septembre 2014 était exécutoire. Au reste, le recourant ne conteste pas véritablement la tardiveté de son opposition. Il n’a pas non plus demandé la restitution du délai pour agir en ce sens ni n’a prétendu qu'il aurait été empêché sans sa faute d'agir (art. 94 al. 1 CPP), mais il se borne à plaider sa cause au fond. Or, dans la mesure où l'opposition, qui n'a pas été formée dans le délai légal, n'est pas recevable, le recourant ne peut remettre en cause l'ordonnance pénale à ce stade de la procédure.</w:t>
      </w:r>
    </w:p>
    <w:p>
      <w:r>
        <w:rPr>
          <w:b/>
        </w:rPr>
        <w:t>E. 3</w:t>
      </w:r>
    </w:p>
    <w:p>
      <w:r>
        <w:t>En définitive, le recours, manifestement mal fondé, doit être rejeté sans autre échange d’écritures (art. 390 al. 2 CPP) et le prononcé du 2 décembre 2015 confirmé. La requête de M.________ tendant à la désignation d’un défenseur d’office doit être rejetée, la désignation d’un avocat n’ayant aucun intérêt après le dépôt du recours. De toute manière, la simplicité de la cause, qui se limite à la question de la recevabilité de l’opposition, ne justifiait pas que le recourant soit pourvu d’un défenseur d’office.</w:t>
      </w:r>
    </w:p>
    <w:p>
      <w:r>
        <w:t>- 4 - Les frais de la procédure de recours, constitués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 décembre 2015 est confirmé. III. La requête tendant à la désignation d’un défenseur d’office pour la procédure de recours est rejetée. IV. Les frais d’arrêt, par 440 fr. (quatre cent quarante francs), sont mis à la charge de M.________. V. Le présent arrêt est exécutoire. Le président : Le greffier : Du Le présent arrêt, dont la rédaction a été approuvée à huis clos, est notifié, par l'envoi d'une copie complète, à : - M. M.________, - Ministère public central,</w:t>
      </w:r>
    </w:p>
    <w:p>
      <w:r>
        <w:t>- 5 - et communiqué à : - Mme la Présidente du Tribunal d’arrondissement de La Côte, - M. le Procureur de l’arrondissement de La Côte, - Mme [...], - Prison de la Croisée,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