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PE14.018085 vom 21. September 2016</w:t>
      </w:r>
    </w:p>
    <w:p>
      <w:r>
        <w:t>VD Tribunal cantonal, 2016-09-21, FR</w:t>
      </w:r>
    </w:p>
    <w:p>
      <w:r>
        <w:rPr>
          <w:b/>
        </w:rPr>
        <w:t xml:space="preserve">Quelle: </w:t>
      </w:r>
      <w:r>
        <w:t>https://mcp.opencaselaw.ch/entscheid/vd_gerichte_PE14.018085</w:t>
      </w:r>
    </w:p>
    <w:p>
      <w:r>
        <w:t>FR: VD_GERICHTE PE14.018085 du 21 septembre 2016</w:t>
      </w:r>
    </w:p>
    <w:p>
      <w:r>
        <w:t>IT: VD_GERICHTE PE14.018085 del 21 settembre 2016</w:t>
      </w:r>
    </w:p>
    <w:p>
      <w:pPr>
        <w:pStyle w:val="Heading2"/>
      </w:pPr>
      <w:r>
        <w:t>Erwägungen</w:t>
      </w:r>
    </w:p>
    <w:p>
      <w:r>
        <w:rPr>
          <w:b/>
        </w:rPr>
        <w:t>E. 1.1</w:t>
      </w:r>
    </w:p>
    <w:p>
      <w:r>
        <w:t>X.________ fait valoir que la peine prononcée à son encontre est manifestement excessive. Il conclut à ce que la peine prononcée le 13 mars 2014 par le Ministère public de Lausanne et celle prononcée le 29 juin 2015 par le Tribunal de police de l’arrondissement de La Côte absorbent la punissabilité des présents faits et qu’aucune peine complémentaire ne soit prononcée en l’espèce.</w:t>
      </w:r>
    </w:p>
    <w:p>
      <w:r>
        <w:rPr>
          <w:b/>
        </w:rPr>
        <w:t>E. 1.2.1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- 21 -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1.2.2</w:t>
      </w:r>
    </w:p>
    <w:p>
      <w:r>
        <w:t>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(CAPE 13 octobre 2016/412).</w:t>
      </w:r>
    </w:p>
    <w:p>
      <w:r>
        <w:rPr>
          <w:b/>
        </w:rPr>
        <w:t>E. 1.3</w:t>
      </w:r>
    </w:p>
    <w:p>
      <w:r>
        <w:t>En l’espèce, les infractions reprochées à X.________ ont été commises avant la condamnation prononcée le 13 avril 2014 par le Ministère public de l’arrondissement de Lausanne à 75 jours-amende et la condamnation prononcée le 5 septembre 2014 par le Tribunal d’arrondissement de La Côte à 80 jours-amende. C’est donc une peine complémentaire qui doit être prononcée. Contrairement à ce que soutient</w:t>
      </w:r>
    </w:p>
    <w:p>
      <w:r>
        <w:t>- 22 - le prévenu, on ne saurait renoncer à le sanctionner pour le motif qu’il aurait été suffisamment puni lors de ces précédentes condamnations. En effet, les infractions qui sont actuellement reprochées au prévenu ne sont pas dénuées de gravité, notamment au regard de la destruction d’organismes vivants par la pollution massive d’un ruisseau et la transgression de normes élémentaires de sauvegarde des eaux. Par ailleurs, les violations de la LFE ont été commises alors même que le prévenu avait déjà été dénoncé une première fois par les autorités administratives et qu’il savait pertinemment que certaines pratiques étaient illicites. Partant, les 7 jours-amende prononcés en première instance, cumulés au deux précédentes peines, soit un total de 162 jours- amende, tiennent adéquatement compte de sa culpabilité nonobstant le fractionnement des condamnations et doivent être confirmés.</w:t>
      </w:r>
    </w:p>
    <w:p>
      <w:r>
        <w:rPr>
          <w:b/>
        </w:rPr>
        <w:t>E. 2</w:t>
      </w:r>
    </w:p>
    <w:p>
      <w:r>
        <w:t>TFIP [Tarif des frais de procédure et indemnités en matière pénale du 28 septembre 2010; RSV 312.03.1]), seront mis par moitié à la charge de l’appelant dans la mesure où il n’obtient que très partiellement gain de cause et qu’il succombe sur la majorité de ses griefs. L’appelant qui avait conclu au rejet de l’appel du Ministère public a droit à une indemnité pour les dépenses occasionnées par l’exercice raisonnable de ses droits de procédure (art. 429 al. 1 let. a CPP). Au vu de la complexité du dossier, il sera retenu 8 heures de travail au tarif horaire de 300 fr., soit une indemnité de 2'400 francs. Dès lors que l’appel du Ministère public ne portait que sur un seul grief, celle-ci sera réduite de moitié. Ainsi l’indemnité totale versée à l’appelant sera fixée à 1'296 fr., TVA comprise. Elle sera en outre compensée avec les frais de première instance mis à sa charge (art. 442 al. 4 CPP).</w:t>
      </w:r>
    </w:p>
    <w:p>
      <w:r>
        <w:rPr>
          <w:b/>
        </w:rPr>
        <w:t>E. 2.1</w:t>
      </w:r>
    </w:p>
    <w:p>
      <w:r>
        <w:t>X.________ conteste la quotité du jour-amende pour le motif qu’au moment de sa fixation, il n’aurait pas été tenu compte d’une charge mensuelle de 3'200 fr. en relation avec l’entretien de ses enfants. Il estime ainsi que la quotité du jour-amende doit être abaissée à 500 francs.</w:t>
      </w:r>
    </w:p>
    <w:p>
      <w:r>
        <w:rPr>
          <w:b/>
        </w:rPr>
        <w:t>E. 2.2</w:t>
      </w:r>
    </w:p>
    <w:p>
      <w:r>
        <w:t>Selon l'art. 34 al. 2, 2e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w:t>
      </w:r>
    </w:p>
    <w:p>
      <w:r>
        <w:t>- 23 -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 p. 68; arrêt 6B_845/2009 du 11 janvier 2010 consid. 1.1.2, in SJ 2010 I p. 205). 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w:t>
      </w:r>
    </w:p>
    <w:p>
      <w:r>
        <w:t>- 24 - avant tout à toucher l'auteur dans ses revenus et non dans les sources de ces derniers. On ne voit pas non plus que l'auteur, qui par ses propres moyens ou en ayant par le passé renoncé à consommer a accumulé de la fortune, doive être moins bien traité que celui qui, dans le même temps, a consommé ses revenus. La peine pécuniaire ne peut tendre à la confiscation totale ou partielle de la fortune. Cette dernière ne doit donc être prise en compte qu'à titre subsidiaire pour fixer la quotité du jour- 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134 IV 60 consid. 6.2 p. 69; voir également arrêt 6B_83/2010 du 8 juillet 2010 consid. 5.1.3 in fine et 5.2).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w:t>
      </w:r>
    </w:p>
    <w:p>
      <w:r>
        <w:t>- 25 - être prise en compte dans le cadre du repentir et de la réparation du dommage pour fixer le nombre des jours-amende (art. 48 let. d CP) ainsi que dans le pronostic pour l'octroi du sursis à la peine pécuniaire (art. 42 al. 1 à 3 CP). Il est exclu d'en tenir compte cumulativement lors de la fixation du montant des jours-amende. Des charges financières extraordinaires peuvent en revanche conduire à une réduction lorsqu'elles correspondent à des besoins financiers accrus résultant de la situation de l'auteur et indépendants de sa volonté (ATF142 IV 315 et les références citées).</w:t>
      </w:r>
    </w:p>
    <w:p>
      <w:r>
        <w:rPr>
          <w:b/>
        </w:rPr>
        <w:t>E. 2.3</w:t>
      </w:r>
    </w:p>
    <w:p>
      <w:r>
        <w:t>En l’espèce, l’appelant a produit une convention d’entretien datée du 10 janvier 1997 concernant sa fille U.________ devenue majeure en 2009 prévoyant une contribution de 1'000 fr. depuis les 14 ans de cette dernière jusqu’à sa majorité ou son indépendance financière (P. 22/2/1), ainsi que la copie d’un ordre mensuel permanent intitulé « pension d’U.________ », d’un montant de 1'000 fr. qu’il aurait créé le 25 novembre 2015 (P. 22/2/3). S’agissant de ses deux enfants cadets devenus majeurs en 2013 et qui habitent sous son toit, il a également produit une convention alimentaire, non signée et non ratifiée, prévoyant une contribution d’entretien à raison de 1'000 par mois. Au vu de ces éléments, il existe des indices suffisants que X.________ verse effectivement chaque mois une pension de 1'000 fr. pour sa fille U.________, mais il n’est en revanche pas clairement établi qu’il le fasse réellement pour ses deux enfants cadets dans la mesure où la convention produite n’a été ni signée ni ratifiée, que son exécution ne ressort d’aucune pièce, et qu’il a déclaré qu’ils vivaient sous son toit. Dans son arrêt du 6B_70/2016 du 2 juin 2016 concernant X.________, le Tribunal fédéral avait retenu que la charge fiscale du prévenu s’élevait à environ 210'000 fr. pour un revenu net de 440'000 fr. et que dans cette mesure, il apparaissait adéquat de fixer la valeur du jour-amende à 630 francs. Dans ce calcul, il n’avait pas été pris en compte la contribution de 1'000 fr. versée chaque mois pour U.________. Dès lors que cette charge est retenue, il se justifie d’adapter le montant du jour-</w:t>
      </w:r>
    </w:p>
    <w:p>
      <w:r>
        <w:t>- 26 - amende le baissant à 590 francs et d’admettre très partiellement le grief de X.________ dans cette mesure. Au vu de la diminution très relative du montant du jours- amende, il n’y a pas lieu de revoir le montant de l’amende infligée au prévenu par la première juge qui sera au surplus confirmée (art. 106 al. 3 CP). IV. En définitive, l’appel de X.________ sera très partiellement admis, l’appel du Ministère public rejeté, et le dispositif du jugement entrepris modifié dans le sens des considérants qui précèdent. Les frais de la procédure d’appel par, 2’680 fr. (art. 21 al. 1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