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PE14.018079 vom 12. Juli 2017</w:t>
      </w:r>
    </w:p>
    <w:p>
      <w:r>
        <w:t>VD Tribunal cantonal, 2017-07-12, FR</w:t>
      </w:r>
    </w:p>
    <w:p>
      <w:r>
        <w:rPr>
          <w:b/>
        </w:rPr>
        <w:t xml:space="preserve">Quelle: </w:t>
      </w:r>
      <w:r>
        <w:t>https://mcp.opencaselaw.ch/entscheid/vd_gerichte_PE14.018079</w:t>
      </w:r>
    </w:p>
    <w:p>
      <w:r>
        <w:t>FR: VD_GERICHTE PE14.018079 du 12 juillet 2017</w:t>
      </w:r>
    </w:p>
    <w:p>
      <w:r>
        <w:t>IT: VD_GERICHTE PE14.018079 del 12 luglio 2017</w:t>
      </w:r>
    </w:p>
    <w:p>
      <w:pPr>
        <w:pStyle w:val="Heading2"/>
      </w:pPr>
      <w:r>
        <w:t>Erwägungen</w:t>
      </w:r>
    </w:p>
    <w:p>
      <w:r>
        <w:rPr>
          <w:b/>
        </w:rPr>
        <w:t>E. 4</w:t>
      </w:r>
    </w:p>
    <w:p>
      <w:r>
        <w:t>L'appelant conteste également la peine à laquelle il a été condamné.</w:t>
      </w:r>
    </w:p>
    <w:p>
      <w:r>
        <w:rPr>
          <w:b/>
        </w:rPr>
        <w:t>E. 4.1</w:t>
      </w:r>
    </w:p>
    <w:p>
      <w:r>
        <w:t>Selon l’art. 47 CP, le juge fixe la peine d’après la culpabilité de l’auteur. Il prend en considération les antécédents et la situation</w:t>
      </w:r>
    </w:p>
    <w:p>
      <w:r>
        <w:t>- 18 -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4.2</w:t>
      </w:r>
    </w:p>
    <w:p>
      <w:r>
        <w:t>En l'espèce, le prévenu considère que la peine prononcée à son encontre est trop sévère, dans la mesure où il a notamment présenté des excuses lors de l'audience de jugement. En outre, il fait valoir que les premiers juges n'avaient pas à retenir à sa charge un concours d'infractions au sens de l'art. 49 al. 1 CP, dès lors que cette disposition ne serait pas applicable. On peut donner acte au prévenu que c'est à tort que le tribunal correctionnel a mentionné un concours d'infractions à charge dans les motifs du jugement relatifs à la fixation de la peine, les lésions corporelles et l'omission de prêter secours étant absorbées par la tentative de meurtre (ATF 137 IV 113). Cela étant, il s'agit manifestement d'une erreur rédactionnelle, dès lors qu'en page 16 dudit jugement, il est précisé que N.________ est libéré des infractions de lésions corporelles, de mise en danger de la vie d'autrui et d'omission de prêter secours, l'arrêt fédéral mentionné ci-dessus étant par ailleurs cité. Du reste, le dispositif du</w:t>
      </w:r>
    </w:p>
    <w:p>
      <w:r>
        <w:t>- 19 - jugement ne fait pas non plus référence à l'art. 49 CP. Force est ainsi de constater que cette erreur est sans conséquence sur la quotité de la peine et qu'elle ne justifie par conséquent pas sa modification. Cela étant, la Cour de céans, examinant la peine selon sa propre conviction, considère également que la culpabilité de N.________ est très lourde, en raison de la barbarie de l'acte de justice propre à laquelle il s'est livré, de son égoïsme à cet égard, de son acharnement, ainsi que de son absence d'empathie et de prise de conscience, illustrée par le fait qu'il a fui pour la France après l'acte et qu'il se place en victime encore dans le cadre de son appel, en tentant de justifier ses agissements par le vol d'objets ayant une valeur sentimentale. A décharge, les premiers juges ont tout de même pris en considération les excuses et regrets exprimés – qui, formulés à nouveau devant la Cour de céans, ont paru de circonstance –, ses bons renseignements professionnels et son bon comportement en détention. Il s'ensuit que la peine de 4 ans de privation de liberté prononcée, qui tient compte tous les éléments pertinents à charge et à décharge, est adéquate et doit être confirmée. Cette peine est incompatible avec le sursis que le prévenu demande (cf. art. 42 al. 1 et 43 al. 1 CP in fine).</w:t>
      </w:r>
    </w:p>
    <w:p>
      <w:r>
        <w:rPr>
          <w:b/>
        </w:rPr>
        <w:t>E. 5</w:t>
      </w:r>
    </w:p>
    <w:p>
      <w:r>
        <w:t>Il résulte de ce qui précède que l'appel de N.________ doit être rejeté et le jugement entrepris entièrement confirmé. Le défenseur d’office de N.________ a produit en audience une liste d’opérations faisant état d’une activité de 12 heures 50, de 3 vacations et de débours, par 100 francs. Il n'y a pas lieu de s'écarter de cette liste, l'activité déployée étant raisonnable, hormis en ce qui concerne le montant des débours, dont le montant forfaitaire est habituellement comptabilisé à raison de 50 francs. Il y a en outre lieu d'ajouter le temps consacré à l'audience d'appel. Ainsi, c’est une indemnité d’un montant de 3'034 fr. 15, correspondant à 13,33 heures</w:t>
      </w:r>
    </w:p>
    <w:p>
      <w:r>
        <w:t>- 20 - d’activité au tarif horaire de 180 fr., à 3 vacations à 120 fr., à 50 fr. de débours forfaitaires et à 224 fr. 75 de TVA, qui doit être allouée à Me Laurent Fischer pour la procédure d’appel. Vu l’issue de la cause, les frais de la procédure d'appel, par 4'864 fr. 15, constitués en l’espèce de l’émolument d’arrêt, par 1'830 fr., (art. 21 al. 1 et 2 TFIP [Tarif des frais de procédure et indemnités en matière pénale du 28 septembre 2010; RSV 312.03.1]) ainsi que de l’indemnité allouée au défenseur d'office, seront mis à la charge de N.________, qui succombe (art. 428 al. 1 CPP). N.________ ne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