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PE14.017537 vom 7. Januar 2015</w:t>
      </w:r>
    </w:p>
    <w:p>
      <w:r>
        <w:t>VD Tribunal cantonal, 2015-01-07, FR</w:t>
      </w:r>
    </w:p>
    <w:p>
      <w:r>
        <w:rPr>
          <w:b/>
        </w:rPr>
        <w:t xml:space="preserve">Quelle: </w:t>
      </w:r>
      <w:r>
        <w:t>https://mcp.opencaselaw.ch/entscheid/vd_gerichte_PE14.017537</w:t>
      </w:r>
    </w:p>
    <w:p>
      <w:r>
        <w:t>FR: VD_GERICHTE PE14.017537 du 7 janvier 2015</w:t>
      </w:r>
    </w:p>
    <w:p>
      <w:r>
        <w:t>IT: VD_GERICHTE PE14.017537 del 7 gennaio 2015</w:t>
      </w:r>
    </w:p>
    <w:p>
      <w:pPr>
        <w:pStyle w:val="Heading2"/>
      </w:pPr>
      <w:r>
        <w:t>Erwägungen</w:t>
      </w:r>
    </w:p>
    <w:p>
      <w:r>
        <w:rPr>
          <w:b/>
        </w:rPr>
        <w:t>E. 1</w:t>
      </w:r>
    </w:p>
    <w:p>
      <w:r>
        <w:t>CPP, et lui a indiqué qu'à défaut, il ne serait pas entré en matière sur son recours. Par courrier du 29 septembre 2014, déclarant agir «amicalement » pour le compte de C.________, T.________ a réadressé à la Cour de céans le recours de C.________ tel que celui-ci l’avait posté le 8 septembre 2014. En droit :</w:t>
      </w:r>
    </w:p>
    <w:p>
      <w:r>
        <w:rPr>
          <w:b/>
        </w:rPr>
        <w:t>E. 1.1</w:t>
      </w:r>
    </w:p>
    <w:p>
      <w:r>
        <w:t>Aux termes de l’art. 110 al. 4 CPP (Code de procédure pénale suisse du 5 octobre 2007; RS 312.0), la direction de la procédure peut</w:t>
      </w:r>
    </w:p>
    <w:p>
      <w:r>
        <w:t>- 3 - retourner à l'expéditeur une requête illisible, incompréhensible, inconvenante ou prolixe, en lui impartissant un délai pour la corriger et en l'avertissant qu'à défaut, la requête ne sera pas prise en considération.</w:t>
      </w:r>
    </w:p>
    <w:p>
      <w:r>
        <w:t>- 4 - Selon l'art. 385 al. 1 CPP, si le code exige que le recours soit motivé – ce qui est le cas en l'espèce en vertu de l'art. 396 al. 1 CPP –, la personne ou l'autorité qui recourt indique précisément les points de la décision qu'elle attaque (let. a), les motifs qui commandent une autre décision (let. b) et les moyens de preuve qu'elle invoque (let. c). Si le mémoire ne satisfait pas à ces exigences, l'autorité de recours le renvoie au recourant pour qu'il le complète dans un bref délai. Si, après l'expiration de ce délai supplémentaire, le mémoire ne satisfait toujours pas à ces exigences, l'autorité de recours n'entre pas en matière (art. 385 al. 2 CPP).</w:t>
      </w:r>
    </w:p>
    <w:p>
      <w:r>
        <w:rPr>
          <w:b/>
        </w:rPr>
        <w:t>E. 1.2</w:t>
      </w:r>
    </w:p>
    <w:p>
      <w:r>
        <w:t>En l’espèce, force est de constater que le recourant n’a pas corrigé et motivé son acte dans le délai imparti, de sorte qu’il n'y a pas lieu d'entrer en matière (art. 110 al. 4 et 385 al. 2 CPP).</w:t>
      </w:r>
    </w:p>
    <w:p>
      <w:r>
        <w:rPr>
          <w:b/>
        </w:rPr>
        <w:t>E. 2</w:t>
      </w:r>
    </w:p>
    <w:p>
      <w:r>
        <w:t>Il résulte de ce qui précède que le recours doit être déclaré irrecevable, sans autre échange d’écritures (art. 390 al. 2 CPP). Les frais de la procédure de recours, constitués en l'espèce du seul émolument d'arrêt, par 440 fr. (art. 422 al. 1 CPP et 20 al. 1 TFIP [Tarif des frais de procédure et indemnités en matière pénale du 28 septembre 2010; RSV 312.03.1]), seront mis à la charge du recourant qui succombe (art. 428 al. 1 CPP). Ils seront compensés avec le montant de 440 fr. déjà versé par celui-ci à titre de sûretés (art. 7 TFIP). Par ces motifs, la Chambre des recours pénale prononce : I. Le recours est irrecevable. II. Les frais de la procédure de recours, par 440 fr. (quatre cent quarante francs), sont mis à la charge de C.________.</w:t>
      </w:r>
    </w:p>
    <w:p>
      <w:r>
        <w:t>- 5 - III. Les frais mis à la charge du recourant sous chiffre II ci-dessus sont compensés avec le montant de 440 fr. (quatre cent quarante francs) déjà versé par celui-ci à titre de sûretés. IV. Le présent arrêt est exécutoire. Le président : La greffière : Du Le présent arrêt, dont la rédaction a été approuvée à huis clos, est notifié, par l'envoi d'une copie complète, à : - M. C.________,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