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PE14.016470 vom 27. Oktober 2014</w:t>
      </w:r>
    </w:p>
    <w:p>
      <w:r>
        <w:t>VD Tribunal cantonal, 2014-10-27, FR</w:t>
      </w:r>
    </w:p>
    <w:p>
      <w:r>
        <w:rPr>
          <w:b/>
        </w:rPr>
        <w:t xml:space="preserve">Quelle: </w:t>
      </w:r>
      <w:r>
        <w:t>https://mcp.opencaselaw.ch/entscheid/vd_gerichte_PE14.016470</w:t>
      </w:r>
    </w:p>
    <w:p>
      <w:r>
        <w:t>FR: VD_GERICHTE PE14.016470 du 27 octobre 2014</w:t>
      </w:r>
    </w:p>
    <w:p>
      <w:r>
        <w:t>IT: VD_GERICHTE PE14.016470 del 27 ottobre 2014</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t>- 3 - Interjeté dans le délai légal auprès de l’autorité compétente par la partie plaignante, qui a la qualité pour recourir (cf. art. 382 al. 1 CPP), le recours est recevable.</w:t>
      </w:r>
    </w:p>
    <w:p>
      <w:r>
        <w:rPr>
          <w:b/>
        </w:rPr>
        <w:t>E. 2.1</w:t>
      </w:r>
    </w:p>
    <w:p>
      <w:r>
        <w:t>A l'appui de son ordonnance, le Ministère public a retenu que les écritures du recourant étaient à ce point confuses et incompréhensibles qu'elles ne permettaient pas d'objectiver un comportement potentiellement contraire au droit, en relevant en outre que les actes objets de la plainte auraient été commis en France.</w:t>
      </w:r>
    </w:p>
    <w:p>
      <w:r>
        <w:rPr>
          <w:b/>
        </w:rPr>
        <w:t>E. 2.2</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rPr>
          <w:b/>
        </w:rPr>
        <w:t>E. 2.3</w:t>
      </w:r>
    </w:p>
    <w:p>
      <w:r>
        <w:t>En l'espèce, ni le contenu de la plainte ni celui des écritures déposées en procédure de recours ne permettent de comprendre quels comportements concrets le recourant entend dénoncer, de sorte que rien ne permet de soupçonner la commission d'une infraction pénale à son préjudice. Du reste, les faits concerneraient une tentative de "manipulation" de la Cour européenne des droits de l'Homme; compte tenu du statut de cette autorité, celle-ci est cependant en principe suffisamment compétente pour faire la part des choses. Il apparaît en outre que la plainte pénale du 7 août 2014 n'est pas valable. La jurisprudence a en effet eu l'occasion de préciser que lorsque le nom de l'auteur de l'infraction est connu, il doit être mentionné dans la plainte pénale (cf. art. 30 al. 1 CP; ATF 97 IV 153 c. 3c, JT 1973 IV 18). Or il ressort du contenu des actes du recourant que celui-ci connaît l'identité des personnes "X", "Y" et "Z" qui seraient impliquées dans les actes qu'il</w:t>
      </w:r>
    </w:p>
    <w:p>
      <w:r>
        <w:t>- 4 - entend dénoncer. Le choix du recourant de néanmoins les désigner par des lettres dans sa plainte entraîne dès lors l'invalidité de cette dernière.</w:t>
      </w:r>
    </w:p>
    <w:p>
      <w:r>
        <w:rPr>
          <w:b/>
        </w:rPr>
        <w:t>E. 3</w:t>
      </w:r>
    </w:p>
    <w:p>
      <w:r>
        <w:t>En définitive, le recours doit être rejeté sans autre échange d’écritures (art. 390 al. 2 CPP) et l'ordonnance du 12 août 2014 confirmée. Les frais de la procédure de recours, constitués en l'espèce uniquement de l'émolument d'arrêt (art. 422 al. 1 CPP), par 440 fr. (art. 20 al. 1 TFIP [Tarif des frais de procédure et indemnités en matière pénale du 28 septembre 2010; RSV 312.03.1]), seront mis à la charge du recourant, qui succombe (art. 428 al. 1 CPP). Ils seront compensés avec le montant de 440 fr. déjà versé par celui-ci à titre de sûretés (art. 7 TFIP). Par ces motifs, la Chambre des recours pénale prononce : I. Le recours est rejeté. II. L'ordonnance du 12 août 2014 est confirmée. III. Les frais de la procédure de recours, par 440 fr. (quatre cent quarante francs), sont mis à la charge de K.________. IV. Les frais mis à la charge de K.________ au chiffre III ci-dessus sont compensés avec le montant de 440 fr. (quatre cent quarante francs) déjà versé. V. Le présent arrêt est exécutoire. Le président : Le greffier :</w:t>
      </w:r>
    </w:p>
    <w:p>
      <w:r>
        <w:t>- 5 - Du Le présent arrêt, dont la rédaction a été approuvée à huis clos, est notifié, par l'envoi d'une copie complète, à : - M. K.________,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