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PE14.015590 vom 30. Juli 2015</w:t>
      </w:r>
    </w:p>
    <w:p>
      <w:r>
        <w:t>VD Tribunal cantonal, 2015-07-30, FR</w:t>
      </w:r>
    </w:p>
    <w:p>
      <w:r>
        <w:rPr>
          <w:b/>
        </w:rPr>
        <w:t xml:space="preserve">Quelle: </w:t>
      </w:r>
      <w:r>
        <w:t>https://mcp.opencaselaw.ch/entscheid/vd_gerichte_PE14.015590</w:t>
      </w:r>
    </w:p>
    <w:p>
      <w:r>
        <w:t>FR: VD_GERICHTE PE14.015590 du 30 juillet 2015</w:t>
      </w:r>
    </w:p>
    <w:p>
      <w:r>
        <w:t>IT: VD_GERICHTE PE14.015590 del 30 luglio 2015</w:t>
      </w:r>
    </w:p>
    <w:p>
      <w:pPr>
        <w:pStyle w:val="Heading2"/>
      </w:pPr>
      <w:r>
        <w:t>Erwägungen</w:t>
      </w:r>
    </w:p>
    <w:p>
      <w:r>
        <w:rPr>
          <w:b/>
        </w:rPr>
        <w:t>E. 1</w:t>
      </w:r>
    </w:p>
    <w:p>
      <w:r>
        <w:t>CPP), le recours est recevable.</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une partie astreinte aux frais, qui a la qualité pour recourir (art. 382 al. 1 CPP), et satisfaisant aux conditions de forme posées par la loi (art. 385 al.</w:t>
      </w:r>
    </w:p>
    <w:p>
      <w:r>
        <w:rPr>
          <w:b/>
        </w:rPr>
        <w:t>E. 1.2</w:t>
      </w:r>
    </w:p>
    <w:p>
      <w:r>
        <w:t>Le recours de G.________ ne portant pas sur le classement de la procédure, mais uniquement d’une part sur la mise à sa charge des frais de procédure, par 600 fr., et d’autre part sur le refus de lui allouer une indemnité pour les dépenses occasionnées par l’exercice raisonnable de ses droits de procédure d’un montant de 2'236 fr. 50, lesquels constituent une conséquence économique accessoire d'une décision (cf. Stephenson/Thiriet, in : Niggli/Heer/ Wiprächtiger [éd.], Basler Kommentar, Schweizerische Strafprozessordnung, Jugendstrafprozess-ordnung, 2e éd., Bâle 2014, n. 5 ad art. 395 CPP ; Juge unique CREP 23 octobre 2013/643), l’art. 395 al. 1 let. b CPP entre en considération. Vu la valeur litigieuse en cause, inférieure au montant de 5'000 fr., le recours relève de la compétence du Juge unique de la Chambre des recours pénale (cf. art. 395 al. 1 let. b CPP et art. 13 al. 2 LVCPP ; cf. entre autres CREP 7 janvier 2014/7).</w:t>
      </w:r>
    </w:p>
    <w:p>
      <w:r>
        <w:rPr>
          <w:b/>
        </w:rPr>
        <w:t>E. 2.1</w:t>
      </w:r>
    </w:p>
    <w:p>
      <w:r>
        <w:t>Le recourant conteste la mise à sa charge des frais de la procédure pénale, en dépit du classement de celle-ci, ainsi que le refus de</w:t>
      </w:r>
    </w:p>
    <w:p>
      <w:r>
        <w:t>- 7 - l’allocation d’une indemnité qu’il avait sollicitée en vertu de l’art. 429 al. 1 let. a CPP.</w:t>
      </w:r>
    </w:p>
    <w:p>
      <w:r>
        <w:rPr>
          <w:b/>
        </w:rPr>
        <w:t>E. 2.2.1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w:t>
      </w:r>
    </w:p>
    <w:p>
      <w:r>
        <w:t>- 8 -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w:t>
      </w:r>
    </w:p>
    <w:p>
      <w:r>
        <w:rPr>
          <w:b/>
        </w:rPr>
        <w:t>E. 2.2.2</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JT 2012 IV 255 ; TF 6B_77/2013 du 4 mars 2013 c. 2.4 ; CREP 19 février 2014/207).</w:t>
      </w:r>
    </w:p>
    <w:p>
      <w:r>
        <w:rPr>
          <w:b/>
        </w:rPr>
        <w:t>E. 2.3.1</w:t>
      </w:r>
    </w:p>
    <w:p>
      <w:r>
        <w:t>En matière de droit du bail, l’art. 256a CO impose au bailleur des obligations accessoires, soit celle de présenter lors de la délivrance de la chose, au nouveau locataire qui le demande, le procès-verbal établi lors de la restitution de la chose à la fin du bail précédent (al. 1) et celle de communiquer, si le locataire l’exige, le montant du loyer fixé dans le contrat de bail précédent (al. 2). Selon l’art. 270 CO, lorsque le locataire estime que le montant du loyer initial est abusif au sens des art. 269 et 269a CO, il peut le contester devant l'autorité de conciliation dans les trente jours qui suivent la réception de la chose et en demander la diminution (al. 1) ; en cas de pénurie de logements, les cantons peuvent rendre obligatoire, sur tout ou partie de leur territoire, l’usage de la</w:t>
      </w:r>
    </w:p>
    <w:p>
      <w:r>
        <w:t>- 9 - formule officielle mentionnée à l’art. 269d CO pour la conclusion de tout nouveau bail (al. 2). Dans le canton de Vaud, l'usage de la formule officielle est nécessaire pour tout nouveau bail (JT 2009 III 9). Cet usage tend à assurer au locataire une information adéquate sur le loyer précédent ainsi que sur les possibilités et la procédure de contestation du loyer initial (ATF 121 III 56 c. 2c). Par « précédent loyer », il faut comprendre le montant du loyer effectivement payé par le précédent locataire (art. 19 al. 1 let. a ch. 1 et al. 3 OBLF [Ordonnance du 9 mai 1990 sur le bail à loyer et le bail à ferme d'habitations et de locaux commerciaux ; RS 221.213.11] ; Dietschy, in : Bohnet/Montini, Droit du bail à loyer, Commentaire pratique, Bâle 2010, nn. 41 et 79 ad art. 270 CO). La formule officielle agréée doit en particulier contenir le montant du loyer et les frais accessoires dus par le précédent locataire, ainsi que la date de leur entrée en vigueur, le montant du nouveau loyer et des nouveaux frais accessoires, les motifs précis de la hausse éventuelle, le droit de contestation du locataire au sens de l'article 270 al. 1 CO et le délai de contestation et l'adresse des commissions de conciliation en matière de baux à loyer (cf. art. 2 LFOCL [loi vaudoise du 7 mars 1993 sur l'utilisation d'une formule officielle au changement de locataire ; RSV 221.315]). La mention de l’ancien loyer et les motifs doivent en particulier permettre au locataire de saisir la portée et la justification de la majoration, pour qu’il puisse décider, en toute connaissance de cause, de contester le nouveau loyer ou de s’en accommoder (cf. ATF 121 III 364).</w:t>
      </w:r>
    </w:p>
    <w:p>
      <w:r>
        <w:rPr>
          <w:b/>
        </w:rPr>
        <w:t>E. 2.3.2</w:t>
      </w:r>
    </w:p>
    <w:p>
      <w:r>
        <w:t>supra). Le recourant ne saurait en outre valablement invoquer le fait qu’en ayant passé par les services d’une agence immobilière, il n’avait pas à vérifier la formule qu’il signait. Il exerce la fonction de directeur financier au sein de la société [...] SA. A ce titre, il doit connaître la portée d’une signature, de l’indication d’un faux montant – ou d’un montant inexact – et sait la responsabilité qui en découle, tout comme celles du propriétaire et du bailleur. G.________, qui gère lui-même l’appartement loué, encaisse les loyers et se charge de la maintenance, a du reste admis qu’il devait vérifier le contenu des contrats de bail que lui présentaient les agences immobilières ; quant à la formule officielle litigieuse, établie par l’agence [...], il a également indiqué avoir constaté que le montant du loyer dû par le précédent locataire était inexact (cf. PV aud. 1). Certes, il a signalé ce point à la régie qui lui aurait dit que tout était en ordre. Dans la mesure toutefois où c’est lui qui a signé à la fois le contrat de bail et la formule officielle, le recourant ne peut valablement reporter sa faute sur cette dernière, étant relevé au demeurant que le nom de l’agence immobilière ne figure nulle part sur ces documents. Enfin, il importe peu, sous l’angle de l’examen des conditions de l’art. 426 al. 2 CPP, de constater, comme le fait le recourant, qu’une</w:t>
      </w:r>
    </w:p>
    <w:p>
      <w:r>
        <w:t>- 12 - première ordonnance de classement, qui laissait les frais à la charge de l’Etat, n’a pas été approuvée par le Ministère public central. Cette autorité a en effet agi dans le cadre de sa compétence donnée par les art. 322 al. 1 CPP et 29 al. 1 LVCPP et le refus d’approbation ne préjugeait en rien des éléments finalement retenus par l’autorité de classement, d’autant que la décision du Ministère public central préconisait un complément d’instruction. Il résulte de ce qui précède que le comportement de G.________ est illicite sur le plan civil et se trouve directement à l’origine de l’action pénale. Il ne s’agit en définitive pas d’une « faute des plus légères » (cf. recours p. 5, ch. 18). Dès lors, la décision du Ministère public de mettre l’entier des frais de la procédure à sa charge, quand bien même une ordonnance de classement a été rendue, s’avère justifiée et doit être confirmée.</w:t>
      </w:r>
    </w:p>
    <w:p>
      <w:r>
        <w:rPr>
          <w:b/>
        </w:rPr>
        <w:t>E. 2.4</w:t>
      </w:r>
    </w:p>
    <w:p>
      <w:r>
        <w:t>En l’espèce, il ressort de la formule du 12 septembre 2012 (P. 4/2) que le loyer mentionné dans l’encadré est le loyer réel acquitté par les nouveaux locataires, la question des réserves de hausse étant abordée plus bas, dans les notes. A l’inverse, dans la formule du 12 mars 2013 (P. 4/3), le loyer inscrit dans l’encadré représente le loyer avec réserve de hausse et il est fait mention plus bas, par simple renvoi à la clause 6.12 du contrat de bail, au loyer réel acquitté par les nouveaux locataires. A cet égard, il apparaît que, sur le plan civil, le procédé consistant à ne pas inscrire dans la formule officielle le loyer mensuel net réellement acquitté ne respecte pas les exigences légales. D’abord, les prescriptions en matière de formule officielle commandent d’indiquer le montant du loyer effectivement payé par le précédent, respectivement nouveau, locataire (cf. c. 2.3.1 supra). Ensuite, la formule officielle doit être basique, précisément pour que le locataire lambda saisisse aisément l’augmentation éventuelle de la hausse et qu’il puisse alors exercer plus facilement ses droits relatifs au loyer initial ainsi que décider, en toute connaissance de cause, de contester le loyer ou de s’en accommoder. Dans le présent cas, on ne saurait à l’évidence considérer que l’indication du loyer avec la réserve de hausse déjà contenue, tel que cela figure dans la formule litigieuse du 12 mars 2013, ait permis aux nouveaux locataires de savoir que les précédents locataires s’acquittaient eux aussi en réalité d’un loyer mensuel net de 2'900 fr. ; ces éléments ne ressortent pas des documents dont T.________ et F.________ disposaient, mais uniquement du contrat de bail et de la formule officielle signés par P.________ et N.________. Compte tenu de ces circonstances, il apparaît que les nouveaux locataires ne pouvaient pas valablement apprécier si les conditions formelles d'une contestation – en particulier l'existence d'une</w:t>
      </w:r>
    </w:p>
    <w:p>
      <w:r>
        <w:t>- 11 - augmentation sensible du loyer au sens de l'art. 270 al. 1 let. b CO – étaient réunies et d’engager eux-mêmes la procédure. Compte tenu de ces circonstances, force est de considérer que le recourant a violé des règles générales de comportement de l’ordre juridique suisse (cf. c. 2.3.1 supra). Par conséquent, il n’y a rien à tirer de la doctrine citée par G.________ – dont les auteurs ne mentionnent au demeurant pas les références sur lesquelles ils s’appuieraient – concernant de la question des conséquences pénales d’une fausse indication relative au précédent loyer figurant sur la formule officielle, dès lors que sous l’angle civil, un tel comportement constitue, selon ces mêmes auteurs, en tout état de cause une violation de la part du bailleur de son obligation de renseigner (cf. c.</w:t>
      </w:r>
    </w:p>
    <w:p>
      <w:r>
        <w:rPr>
          <w:b/>
        </w:rPr>
        <w:t>E. 2.5</w:t>
      </w:r>
    </w:p>
    <w:p>
      <w:r>
        <w:t>Le parallélisme entre la mise à la charge du prévenu des frais de procédure selon l'art. 426 al. 2 CPP et le refus d’une indemnité selon l’art. 429 CPP exclut que le recourant tenu, comme en l’espèce, aux frais de procédure ait droit à une quelconque indemnité fondée sur l’art. 429 al. 1 let. a CPP (ATF 137 IV 352, JT 2012 IV 255). De toute manière, les considérations émises ci-avant concernant le comportement illicite et fautif de G.________ commanderaient également, en application de l’art. 430 al. 1 let. a CPP, de refuser l’allocation d’une telle indemnité.</w:t>
      </w:r>
    </w:p>
    <w:p>
      <w:r>
        <w:rPr>
          <w:b/>
        </w:rPr>
        <w:t>E. 3</w:t>
      </w:r>
    </w:p>
    <w:p>
      <w:r>
        <w:t>En définitive, le recours doit être rejeté, sans autres échanges d’écritures (art. 390 al. 2 CPP), et l’ordonnance du 10 juin 2015 confirmée. Vu l’issue de la cause, les frais de la procédure de recours, constitués du seul émolument d’arrêt, par 1'080 fr. (art. 20 al. 1 TFIP [tarif des frais de procédure et indemnités en matière pénale du 28 septembre 2010 ; RSV 312.03.1]), seront mis à la charge du recourant, qui succombe (art. 428 al. 1 CPP). Dans ces conditions, aucune indemnité au sens de</w:t>
      </w:r>
    </w:p>
    <w:p>
      <w:r>
        <w:t>- 13 - l’art. 429 al. 1 let. a CPP pour la procédure de recours ne sera en outre allouée à G.________. Par ces motifs, le juge unique prononce : I. Le recours est rejeté. II. L’ordonnance du 10 juin 2015 est confirmée. III. Les frais d’arrêt, par 1'080 fr. (mille huitante francs), sont mis à la charge de G.________. IV. Le présent arrêt est exécutoire. Le juge unique : La greffière : Du Le présent arrêt, dont la rédaction a été approuvée à huis clos, est notifié, par l'envoi d'une copie complète, à : - M. Christian Giauque, avocat (pour G.________), - Ministère public central ; et communiqué à : - Mme la Procureure de l’arrondissement de La Côte, - Cour des poursuites et faillites du Tribunal cantonal,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