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PE14.015356 vom 12. Juli 2016</w:t>
      </w:r>
    </w:p>
    <w:p>
      <w:r>
        <w:t>VD Tribunal cantonal, 2016-07-12, FR</w:t>
      </w:r>
    </w:p>
    <w:p>
      <w:r>
        <w:rPr>
          <w:b/>
        </w:rPr>
        <w:t xml:space="preserve">Quelle: </w:t>
      </w:r>
      <w:r>
        <w:t>https://mcp.opencaselaw.ch/entscheid/vd_gerichte_PE14.015356</w:t>
      </w:r>
    </w:p>
    <w:p>
      <w:r>
        <w:t>FR: VD_GERICHTE PE14.015356 du 12 juillet 2016</w:t>
      </w:r>
    </w:p>
    <w:p>
      <w:r>
        <w:t>IT: VD_GERICHTE PE14.015356 del 12 luglio 2016</w:t>
      </w:r>
    </w:p>
    <w:p>
      <w:pPr>
        <w:pStyle w:val="Heading2"/>
      </w:pPr>
      <w:r>
        <w:t>Erwägungen</w:t>
      </w:r>
    </w:p>
    <w:p>
      <w:r>
        <w:rPr>
          <w:b/>
        </w:rPr>
        <w:t>E. 7</w:t>
      </w:r>
    </w:p>
    <w:p>
      <w:r>
        <w:t>En définitive, l'appel du Ministère public doit être partiellement admis et le jugement attaqué modifié dans le sens des considérants. Au vu de la liste des opérations produite par Me Roxane Mingard (P. 240/1) et dont il n’y a pas lieu de s’écarter, une indemnité de 1'970 fr., plus la TVA, par 157 fr. 60, soit 2'127 fr. 60 au total, doit être allouée au défenseur d’office de S.________ pour la procédure d’appel. Vu l’issue de la cause, les frais de la procédure d'appel, par 5'797 fr. 60, constitués en l’espèce de l’émolument du jugement, par 3'670 fr. (art. 21 al. 1 et 2 TFIP [Tarif des frais de procédure et indemnités en matière pénale du 28 septembre 2010 ; RSV 312.03.1]), et de l'indemnité allouée au défenseur d'office, par 2'127 fr. 60, doivent être mis</w:t>
      </w:r>
    </w:p>
    <w:p>
      <w:r>
        <w:t>- 36 - pour moitié, soit par 2'898 fr. 80, à la charge de S.________ – le dispositif communiqué le 5 juillet 2016 étant rectifié d'office dans le présent jugement (art. 83 al. 1 CPP) –, qui succombe partiellement (art. 428 al. 1 CPP), le solde étant laissé à la charge de l'Etat. S.________ ne sera tenu de rembourser à l’Etat la moitié du montant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