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PE14.015292 vom 14. Februar 2020</w:t>
      </w:r>
    </w:p>
    <w:p>
      <w:r>
        <w:t>VD Tribunal cantonal, 2020-02-14, FR</w:t>
      </w:r>
    </w:p>
    <w:p>
      <w:r>
        <w:rPr>
          <w:b/>
        </w:rPr>
        <w:t xml:space="preserve">Quelle: </w:t>
      </w:r>
      <w:r>
        <w:t>https://mcp.opencaselaw.ch/entscheid/vd_gerichte_PE14.015292</w:t>
      </w:r>
    </w:p>
    <w:p>
      <w:r>
        <w:t>FR: VD_GERICHTE PE14.015292 du 14 février 2020</w:t>
      </w:r>
    </w:p>
    <w:p>
      <w:r>
        <w:t>IT: VD_GERICHTE PE14.015292 del 14 febbraio 2020</w:t>
      </w:r>
    </w:p>
    <w:p>
      <w:pPr>
        <w:pStyle w:val="Heading2"/>
      </w:pPr>
      <w:r>
        <w:t>Erwägungen</w:t>
      </w:r>
    </w:p>
    <w:p>
      <w:r>
        <w:rPr>
          <w:b/>
        </w:rPr>
        <w:t>E. 40</w:t>
      </w:r>
    </w:p>
    <w:p>
      <w:r>
        <w:t>machines à sous pour la somme de 40'000 fr., puis la revente à perte de la presque totalité de ces objets trois ans plus tard. On ne trouve nulle trace d'une convention stipulant le paiement d'intérêts à hauteur de 20 % comme le recourant le soutient. Quoi qu'il en soit, aucun lien concret ne peut être fait entre la vente de ces machines à sous le 15 mai 2006 et la convention de participation passée le même jour, laquelle disposait seulement que M.________ confiait 315'000 fr. au recourant afin de faire fructifier cette somme dans le cadre de l'exploitation de sa galerie d'art. En définitive, c'est à juste titre que le Ministère public a considéré que les faits étaient suffisamment établis et que les chances d'acquittement de M.________ et des époux B.N.________ et A.N.________ étaient très nettement supérieures à celles d'une condamnation. La décision du Ministère public de classer la procédure ne prête par conséquent pas le flanc à la critique et doit être confirmée.</w:t>
      </w:r>
    </w:p>
    <w:p>
      <w:r>
        <w:t>- 10 - 3. Il s'ensuit que le recours, manifestement mal fondé, doit être rejeté sans échange d'écritures (art. 390 al. 2 CPP) et l’ordonnance entreprise confirmée. Les frais d'arrêt sont fixés à 1'100 fr. (art. 20 al. 1 TFIP [Tarif des frais de procédure et indemnités en matière pénale du 28 septembre 2010 ; BLV 312.03.1]). Le recourant et plaignant est au bénéfice de l'assistance judiciaire gratuite. L'indemnité de Me Gaspard Couchepin est fixée à 540 fr., ce qui correspond à 3 h d'activité au tarif horaire de 180 fr. (art. 2 al. 1 let. a et 3 al. 2 RAJ [règlement sur l'assistance judiciaire en matière civile du 7 décembre 2010 ; BLV 211.02.3] applicables par renvoi de l'art. 26b TFIP), somme à laquelle il faut ajouter 2 % pour les débours (art. 3bis al. 1 RAJ applicable par renvoi de l'art. 26b TFIP), soit 10 fr. 80, de sorte que l'indemnité s'élève au total à 593 fr. 20, TVA par 7,7 % incluse. Vu l’octroi au recourant de l’assistance judiciaire gratuite comprenant l’exonération des frais de procédure (art. 136 al. 2 let. b CPP) et l’assistance d’un conseil juridique gratuit (art. 136 al. 2 let. c CPP), ces frais doivent être provisoirement laissés à la charge de l’Etat (Harari/Corminboeuf Harari, Commentaire romand, Code de procédure pénale suisse, 2e éd., Bâle 2019, n. 51 ad art. 136 CPP). Le recourant est toutefois tenu de les rembourser à l’Etat dès que sa situation financière le permettra (art. 135 al. 4 CPP par renvoi de l'art. 138 al. 1 CPP ; Harari/Corminboeuf Harari, op. cit., n. 11 ad art. 138 CPP ; CREP 18 décembre 2019/1021 ; CREP 6 mars 2019/176). Par ces motifs, la Chambre des recours pénale prononce : I. Le recours est rejeté. II. L'ordonnance du 14 octobre 2019 est confirmée.</w:t>
      </w:r>
    </w:p>
    <w:p>
      <w:r>
        <w:t>- 11 - III. L’indemnité allouée au conseil juridique gratuit d'Y.________ est fixée à 593 fr. 20 (cinq cent nonante-trois francs et vingt centimes). IV. Les frais de procédure, composés des frais d'arrêt, par 1'100 fr. (mille cent francs), et de l'indemnité allouée au conseil juridique gratuit d'Y.________, par 593 fr. 20 (cinq cent nonante-trois francs et vingt centimes), sont provisoirement laissés à la charge de l'Etat. V. Y.________ est tenu de rembourser à l'Etat les frais de procédure mentionnés sous chiffre IV ci-dessus dès que sa situation financière le permettra. VI. L’arrêt est exécutoire. Le président : La greffière : Du Le présent arrêt, dont la rédaction a été approuvée à huis clos, est notifié, par l'envoi d'une copie complète, à : - Me Gaspard Couchepin, avocat (pour Y.________), - Me Laurent Kohli, avocat (pour M.________, B.N.________ et A.N.________),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w:t>
      </w:r>
    </w:p>
    <w:p>
      <w:r>
        <w:t>- 13 -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