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PE14.015051 vom 28. April 2016</w:t>
      </w:r>
    </w:p>
    <w:p>
      <w:r>
        <w:t>VD Tribunal cantonal, 2016-04-28, FR</w:t>
      </w:r>
    </w:p>
    <w:p>
      <w:r>
        <w:rPr>
          <w:b/>
        </w:rPr>
        <w:t xml:space="preserve">Quelle: </w:t>
      </w:r>
      <w:r>
        <w:t>https://mcp.opencaselaw.ch/entscheid/vd_gerichte_PE14.015051</w:t>
      </w:r>
    </w:p>
    <w:p>
      <w:r>
        <w:t>FR: VD_GERICHTE PE14.015051 du 28 avril 2016</w:t>
      </w:r>
    </w:p>
    <w:p>
      <w:r>
        <w:t>IT: VD_GERICHTE PE14.015051 del 28 aprile 2016</w:t>
      </w:r>
    </w:p>
    <w:p>
      <w:pPr>
        <w:pStyle w:val="Heading2"/>
      </w:pPr>
      <w:r>
        <w:t>Erwägungen</w:t>
      </w:r>
    </w:p>
    <w:p>
      <w:r>
        <w:rPr>
          <w:b/>
        </w:rPr>
        <w:t>E. 4</w:t>
      </w:r>
    </w:p>
    <w:p>
      <w:r>
        <w:t>Invoquant une violation de l'art. 90 al. 3 LCR (loi fédérale sur la circulation routière; RS 741.01), l'appelant conteste sa condamnation pour violation grave qualifiée des règles de la circulation routière.</w:t>
      </w:r>
    </w:p>
    <w:p>
      <w:r>
        <w:rPr>
          <w:b/>
        </w:rPr>
        <w:t>E. 4.1</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Cette disposition suppose tout d'abord la violation d'une règle fondamentale de la circulation. Vu le caractère aggravé, il y lieu de retenir une définition plus limitative que celle retenue pour l'art. 90 al. 2 LCR afin de ne retenir que les comportements insensés présentant une gravité sensiblement plus élevée que celle requise par l'al. 2. La loi donne une liste d'exemples de ces règles fondamentales en évoquant notamment les dépassements téméraires. Ainsi, à ce sujet, lors des débats parlementaires, il a été fait expressément référence, à l'ATF 130 IV 58, qui concerne un dépassement entrepris dans un village à une vitesse de l'ordre de 120 à 140 km/h. La situation décrite dans l'ATF 6B_411/2012 constitue également un dépassement téméraire; il s'agit en effet d'un dépassement à l'aveugle sur une route sinueuse en franchissant une ligne continue en commettant un excès de vitesse de 10 à 20 km/h. Le caractère téméraire découle souvent de l'accumulation de plusieurs violations de règles de circulation. Pour être téméraire, un dépassement doit être insensé, pas seulement audacieux ou risqué (Bussy/Rusconi/Jeanneret/Kuhn/Mizel/Müller, CS CR commenté, 4e éd., ad art. 90 al. 3 LCR). Le résultat requis par la violation grave incriminée est un grand risque d'accident pouvant entraîner des blessures graves ou la mort. Le risque de survenance d'un tel accident est qualifié de grand; cette évaluation de l'intensité du risque doit nécessairement être plus</w:t>
      </w:r>
    </w:p>
    <w:p>
      <w:r>
        <w:t>- 19 - rigoureuse que pour le danger sérieux de l'art. 90 al. 2 LCR, vu le caractère aggravé du délit de chauffard. Il faut que naisse une probabilité très élevée, sérieuse et immédiate de lésions graves ou de mort d'une ou plusieurs tierces personnes; établir un tel danger suppose un examen hypothétique effectué au vu des circonstances du cas d'espèce, fondé sur le cours ordinaire des choses et l'expérience générale de la vie (Bussy et al., op.cit., ad art. 90 al. 3 LCR).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Agit intentionnellement quiconque commet un crime ou un délit avec conscience et volonté. L'auteur agit déjà intentionnellement lorsqu'il tient pour possible la réalisation de l'infraction et l'accepte au cas où celle-ci se produirait (art. 12 al. 2 CP).</w:t>
      </w:r>
    </w:p>
    <w:p>
      <w:r>
        <w:rPr>
          <w:b/>
        </w:rPr>
        <w:t>E. 4.2</w:t>
      </w:r>
    </w:p>
    <w:p>
      <w:r>
        <w:t>En l'espèce, l'appelant a accumulé plusieurs violations graves des règles de la circulation. Ainsi, il a circulé à une vitesse nettement supérieure à celle autorisée hors des localités. Arrivé dans une courbe à droite sans visibilité, peu avant le passage à niveau CFF, il a entrepris un dépassement à haute vitesse en se déportant sur la voie de gauche, réservée aux usagers circulant en sens inverse et en franchissant la ligne de sécurité, alors même qu'un passage à niveau était à proximité. L'intéressé connaissait parfaitement la route en question. Une fois sur la voie de gauche, il s'est retrouvé en face de la voiture conduite par G.________, qui circulait normalement en sens inverse à faible vitesse, dès lors qu'elle venait de démarrer après s'être arrêtée au passage à niveau dont les barrières venaient de se relever. Cette automobiliste a donné un coup de volant à gauche pour éviter une collision frontale et a terminé sa course hors de la chaussée opposée. Le prévenu a mordu avec sa voiture</w:t>
      </w:r>
    </w:p>
    <w:p>
      <w:r>
        <w:t>- 20 - la bordure herbeuse située à gauche dans son sens de marche, a éraflé une balise, puis est revenu dans sa voie de circulation. Ce faisant, l'appelant a violé une multitude de règles de la circulation routière, à savoir les art. 26, 27, 31, 32 LCR, 3 et 4 OCR (ordonnance sur les règles de la circulation routière; RS 741.11) et a procédé à un dépassement totalement insensé dans un virage sans visibilité avant un passage à niveau, qui de surcroît est signalisé avant le virage (cf. P16, p. 12). La violation de ces différentes règles a, à l'évidence, engendré un grand risque d'accident pouvant entraîner des blessures graves ou même la mort. En effet, la collision frontale a été évitée de justesse, G.________ ayant relevé qu'elle est restée traumatisée et bloquée dans sa voiture et que si elle n'avait pas effectué une manœuvre d'évitement, elle serait certainement morte dans la mesure où la voiture venant en face roulait à grande vitesse (cf. PV aud. 6, l. 56 s.). Le prévenu a d'ailleurs lui-même admis que si le train était passé au même moment, il aurait pu mourir ou aurait dû dévier à gauche où il y avait un bois (cf. jugt. p. 6). Il est ainsi manifeste que, par ses agissements, ce dernier était conscient des violations des règles de la circulation commises, acceptant ainsi de courir un grand risque d'accident pouvant entraîner de graves blessures ou la mort. En conséquence, la condamnation de l'appelant pour violation de l'art. 90 al. 3 LCR doit être confirmée.</w:t>
      </w:r>
    </w:p>
    <w:p>
      <w:r>
        <w:rPr>
          <w:b/>
        </w:rPr>
        <w:t>E. 5</w:t>
      </w:r>
    </w:p>
    <w:p>
      <w:r>
        <w:t>L'appelant conteste s'être rendu coupable de violation des devoirs en cas d'accident. Il nie avoir eu, sur le moment, conscience d'avoir touché la balise, affirmant que ce n'est que plus tard que son passager lui en aurait parlé.</w:t>
      </w:r>
    </w:p>
    <w:p>
      <w:r>
        <w:rPr>
          <w:b/>
        </w:rPr>
        <w:t>E. 5.1</w:t>
      </w:r>
    </w:p>
    <w:p>
      <w:r>
        <w:t>L'art. 92 al. 1 LCR dispose que celui qui, lors d'un accident, aura violé les devoirs que lui impose la loi sur la circulation</w:t>
      </w:r>
    </w:p>
    <w:p>
      <w:r>
        <w:t>- 21 - routière sera puni de l'amende. L'art. 51 al. 1 LCR fait obligation aux personnes impliquées dans un accident de s'arrêter immédiatement (1re phrase); ces dernières sont tenues d'assurer, dans la mesure du possible, la sécurité de la circulation (2ème phrase). Les devoirs en cas d'accident, dont la violation est réprimée par l'art. 92 ch. 1 LCR, sont énoncés à l'art. 51 LCR. Cette disposition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L'alinéa 1er de cette disposition définit les devoirs généraux qui s'adressent aux personnes impliquées dans un accident, quelles qu'en soient les conséquences. Est impliqué dans un accident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Sont ainsi visés les conducteurs, mais aussi un piéton ou même un passager (qui a par exemple ouvert inopinément sa portière) à la condition que la personne puisse avoir joué un rôle causal dans la survenance de l'accident (Corboz, Les infractions en droit suisse, vol. Il, 3e éd., Berne 2010, p. 977, n. 11 ad art. 92 LCR). En cas d'accident, la personne impliquée a le devoir de s'arrêter; ce devoir est un préalable à tous les autres et doit permettre de constater la situation et de déterminer les mesures à prendre. En outre, dans la mesure du possible, elle devra assurer la sécurité de la circulation. L'obligation de s'arrêter est interprétée très strictement; ainsi cette obligation intervient déjà à partir du moment où il existe une possibilité que le conducteur soit impliqué dans l'accident ou lorsque la</w:t>
      </w:r>
    </w:p>
    <w:p>
      <w:r>
        <w:t>- 22 - survenance de celui-ci est probable (TF 6S.321/2002 du 12 novembre 2002 consid. 4; TF 6S.27511995 du 22 août 1995 consid. 3a.b). Lorsque le conducteur s'accommode d'un doute et omet ainsi de s'assurer qu'aucun accident n'est intervenu, il viole ses devoirs déduits de l'art. 51 al. 1 1re phrase LCR (TF 6S.321/2002 du 12 novembre 2002 consid. 4). L'élément subjectif de l'infraction à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pas dol éventuel s'il quitte les lieux (TF 6B_1027/2013).</w:t>
      </w:r>
    </w:p>
    <w:p>
      <w:r>
        <w:rPr>
          <w:b/>
        </w:rPr>
        <w:t>E. 5.2</w:t>
      </w:r>
    </w:p>
    <w:p>
      <w:r>
        <w:t>En l'espèce, selon les faits retenus, l'appelant a mordu avec sa voiture la bordure herbeuse située à gauche dans son sens de marche, a éraflé une balise, est revenu dans sa voie de circulation, puis a poursuivi sa route. Le témoin [...] a d'ailleurs pu voir que le prévenu avait heurté une balise avant de poursuivre sa route et il ne l'a lui-même pas exclu (cf. supra, consid. 3.4). La Cour de céans est intimement convaincue qu'il était conscient d'avoir heurté cette balise, malgré ses dénégations non convaincantes et l'absence de dommage sur le véhicule. De plus, avant de heurter cet objet, il s'est trouvé en face de la voiture de G.________, qui a dû donner un coup de volant à gauche pour éviter la collision frontale et qui a ensuite terminé sa course hors de la chaussée opposée, ce qu'il ne peut qu'avoir constaté au vu de la configuration des lieux (cf. P. 16). Or, l'appelant ne s'est pas arrêté pour s'assurer que l'automobiliste sortie de route n'était pas blessée. Au regard de ces éléments, il faut admettre que l'appelant était conscient de la situation qu'il venait de créer et qu'il a violé, en tant que personne impliquée, le devoir de s'arrêter et les autres devoirs qui s'ensuivent. En outre, comme auteur d'un dommage, il aurait dû informer le lésé, à savoir le propriétaire de la balise endommagée. Sa</w:t>
      </w:r>
    </w:p>
    <w:p>
      <w:r>
        <w:t>- 23 - condamnation pour violation des devoirs en cas d'accident doit ainsi être confirmée.</w:t>
      </w:r>
    </w:p>
    <w:p>
      <w:r>
        <w:rPr>
          <w:b/>
        </w:rPr>
        <w:t>E. 6</w:t>
      </w:r>
    </w:p>
    <w:p>
      <w:r>
        <w:t>Enfin, l'appelant conteste la peine qui lui a été infligée, en reprochant aux premiers juges de ne pas avoir retenu son absence d'antécédents judiciaires, ses regrets sincères, sa situation difficile à l'époque des faits, son très bon comportement depuis les événements, sa situation actuelle très stable et sa bonne intégration.</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L'absence d'antécédents a un effet neutre sur la fixation de la peine et n'a donc pas à être prise en considération dans un sens atténuant (cf. ATF 136 IV 1 consid. 2.6.4).</w:t>
      </w:r>
    </w:p>
    <w:p>
      <w:r>
        <w:t>- 24 -</w:t>
      </w:r>
    </w:p>
    <w:p>
      <w:r>
        <w:rPr>
          <w:b/>
        </w:rPr>
        <w:t>E. 6.3</w:t>
      </w:r>
    </w:p>
    <w:p>
      <w:r>
        <w:t>Contrairement aux allégations de l'appelant, le Tribunal correctionnel a tenu compte à décharge, de son absence d'antécédents en matière de circulation, de son évolution favorable, de sa situation professionnelle stable, des excuses sincère formulées et d'une probable immaturité lors de la commission des infractions. Ainsi, les éléments à décharge n'ont pas été ignorés, étant relevé que l'absence d'antécédents n'a toutefois pas d'effet sur la peine. Par ailleurs, on ne saurait retenir un repentir sincère, l'intéressé ne reconnaissant pas entièrement les faits et n'étant pas totalement conscient de la gravité de ses actes, qu'il a cherché à minimiser tout au long de la procédure. Pour le reste, on peut se référer à la motivation des premiers juges concernant la peine (cf. jugt. pp. 19 s.), complète et détaillée, étant précisé que la situation personnelle actualisée du prévenu au jour du présent jugement n'a pas évolué au point de justifier une appréciation différente de la peine. Partant, la peine privative de liberté de 16 mois et l'amende de 3'000 fr., ont été fixées en application des critères légaux à charge et à décharge, conformément à la culpabilité et à la situation personnelle de C.________. Ces sanctions sont donc adéquates et doivent être confirmées.</w:t>
      </w:r>
    </w:p>
    <w:p>
      <w:r>
        <w:rPr>
          <w:b/>
        </w:rPr>
        <w:t>E. 7</w:t>
      </w:r>
    </w:p>
    <w:p>
      <w:r>
        <w:t>En définitive, l'appel doit être rejeté et le jugement attaqué confirmé.</w:t>
      </w:r>
    </w:p>
    <w:p>
      <w:r>
        <w:rPr>
          <w:b/>
        </w:rPr>
        <w:t>E. 7.1</w:t>
      </w:r>
    </w:p>
    <w:p>
      <w:r>
        <w:t>Pour la première procédure d'appel, Me Renaud Lattion avait produit une liste d'opération mentionnant 11h30 de travail, une vacation à 180 fr. et 114 fr. 40 de débours. Il n'y a pas lieu de s'écarter de cette liste, hormis en ce qui concerne les débours et la vacation, qui seront réduits au forfait usuel de 50 fr., respectivement de 120 fr., de sorte que c'est une indemnité de 2'419 fr. 20, TVA et débours inclus, qui sera allouée à Me</w:t>
      </w:r>
    </w:p>
    <w:p>
      <w:r>
        <w:t>- 25 - Renaud Lattion en sa qualité de défenseur d'office de C.________, pour la première procédure d'appel. Vu l'issue de la présente procédure d'appel, les frais de la première procédure d'appel, par 4'029 fr. 20, y compris l'indemnité précitée, seront mis à la charge de C.________. L’appelant ne sera tenu de rembourser le montant de l'indemnité en faveur de son défenseur d’office que lorsque sa situation financière le permettra (art. 135 al. 4 let. a CPP).</w:t>
      </w:r>
    </w:p>
    <w:p>
      <w:r>
        <w:rPr>
          <w:b/>
        </w:rPr>
        <w:t>E. 7.2</w:t>
      </w:r>
    </w:p>
    <w:p>
      <w:r>
        <w:t>Dans le cadre de la présente procédure d'appel, Me Renaud Lattion a produit une liste d'opération faisant état de 7h30 d'activité et de 273 fr. 40 de vacation et débours hors TVA. Il y a lieu de réduire de 1h30 l'activité comptabilisée, 13 correspondances et 12 entretiens téléphoniques avec le client ne se justifiant pas en l'espèce, et encore de 20 minutes pour le temps le temps comptabilisé en trop pour l'audience. En outre, il y a lieu de déduire 60 fr. 80 (frais de transport) du montant 273 fr. 40, la vacation étant déjà comptabilisée à forfait dans celui-ci. En définitive, c'est une indemnité de 1'292 fr. 60, plus 99 fr. 53 de TVA, soit 1'392 fr. 13 au total, qui sera allouée à Me Renaud Lattion pour la seconde procédure d'appel. Vu l’issue de la seconde procédure d'appel, dans laquelle la Cour de céans confirme son précédent jugement ensuite d'un recours admis par le Tribunal fédéral, les frais de la présente procédure, par 3'772 fr. 13, constitués en l’espèce des émoluments de jugement et d'audience, par 2'380 fr. (art. 21 al. 1 et 2 TFIP [tarif des frais de procédure et indemnité en matière pénale du 28 septembre 2010; RSV 312.03.1]), y compris l'indemnité allouée au défenseur d'office pour cette procédure, seront laissés à la charge de l'Etat (art. 423 al. 1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