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PE14.014946 vom 21. Juli 2014</w:t>
      </w:r>
    </w:p>
    <w:p>
      <w:r>
        <w:t>VD Tribunal cantonal, 2014-07-21, FR</w:t>
      </w:r>
    </w:p>
    <w:p>
      <w:r>
        <w:rPr>
          <w:b/>
        </w:rPr>
        <w:t xml:space="preserve">Quelle: </w:t>
      </w:r>
      <w:r>
        <w:t>https://mcp.opencaselaw.ch/entscheid/vd_gerichte_PE14.014946</w:t>
      </w:r>
    </w:p>
    <w:p>
      <w:r>
        <w:t>FR: VD_GERICHTE PE14.014946 du 21 juillet 2014</w:t>
      </w:r>
    </w:p>
    <w:p>
      <w:r>
        <w:t>IT: VD_GERICHTE PE14.014946 del 21 luglio 2014</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w:t>
      </w:r>
    </w:p>
    <w:p>
      <w:r>
        <w:t>- 4 - graves soupçons de culpabilité d’avoir commis un crime ou un délit (ATF 139 IV 186 c. 2; Schmocker, in: Kuhn/Jeanneret [éd.], Commentaire romand, Code de procédure pénale suisse, Bâle 2011, nn. 7 ss ad art. 221 CPP, pp. 1024 ss). b) En l’espèce, le recourant ne conteste pas avoir eu une altercation avec un inconnu, l’avoir menacé et injurié, lui avoir pincé la joue ainsi qu’avoir exhibé un couteau. Il nie en revanche avoir pointé le couteau sur le plaignant. Toutefois, les déclarations de ce dernier sont cohérentes et circonstanciées, de sorte qu’elles sont suffisantes pour retenir une présomption suffisamment sérieuse de culpabilité à l’encontre de I.________.</w:t>
      </w:r>
    </w:p>
    <w:p>
      <w:r>
        <w:rPr>
          <w:b/>
        </w:rPr>
        <w:t>E. 3</w:t>
      </w:r>
    </w:p>
    <w:p>
      <w:r>
        <w:t>Le recourant conteste le risque de réitération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t>- 5 - b) En l’espèce, le recourant a déjà été condamné à quatre reprises entre 2004 et 2013 notamment pour brigandage, agression, vols, extorsion et chantage, recel, lésions corporelles par négligence, mise en danger de la vie d’autrui, violence ou menace contre les autorités et les fonctionnaires, infractions à la LArm (Loi fédérale sur les armes du 20 juin 1997; RS 514.54) ainsi que pour infractions à la LCR (Loi fédérale sur la circulation routière du 19 décembre 1958; RS 741.01). Le 7 octobre 2011, I.________ a bénéficié d’une libération conditionnelle prononcée par le Juge d’application de peines. Le 5 mars 2013, le Tribunal correctionnel de l’arrondissement de Lausanne a suspendu l’exécution d’une peine privative de liberté de trois ans, sous déduction de 330 jours de détention avant jugement, au profit d’un traitement ambulatoire. Malgré le risque de devoir subir sa peine, le recourant n'a pas hésité à récidiver. Dans ces conditions, il est à craindre que le recourant, s’il était remis en liberté, ne commette de nouvelles infractions du même genre que celles qui lui ont valu son arrestation et les précédentes condamnations. Le risque de récidive est donc manifestement réalisé.</w:t>
      </w:r>
    </w:p>
    <w:p>
      <w:r>
        <w:rPr>
          <w:b/>
        </w:rPr>
        <w:t>E. 4</w:t>
      </w:r>
    </w:p>
    <w:p>
      <w:r>
        <w:t>Le recourant propose diverses mesures de substitution (art. 237 CPP) pour prévenir le risque de récidive. a) Conformément au principe de la proportionnalité (art. 36 al. 3 Cst. [Constitution fédérale de la Confédération suisse du 18 avril 1999;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w:t>
      </w:r>
    </w:p>
    <w:p>
      <w:r>
        <w:t>- 6 -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(CREP 10 juin 2014/393 c. 4b). b) En l'espèce, comme on l'a évoqué, le recourant a déjà bénéficié d'un traitement ambulatoire ordonné par jugement du 5 mars 2013 sur la base d'un rapport d'expertise psychiatrique du 20 juillet 2012 qui retenait un diagnostic de troubles mixtes de la personnalité, syndrome de dépendance à l'alcool et syndrome de dépendance liée à l'utilisation de cannabis et concluait à un risque de récidive relativement élevé, mais pouvant être diminué par un suivi thérapeutique avec des contrôles d'abstinence. Toutefois, il y a environ deux mois, le recourant a interrompu le suivi ambulatoire mis en place et a récidivé le 19 juillet 2014 sous l'emprise d'alcool et de cocaïne. A l'instar du Tribunal des mesures de contrainte, la Cour constate que la menace de devoir purger une peine de trois ans ainsi que la séparation d'avec son épouse liée à sa consommation n'ont pas suffi à empêcher le recourant de récidiver. Dans ces circonstances, on ne voit pas quelle mesure de substitution serait susceptible d'exercer un effet dissuasif à long terme sur la personne du recourant pour pallier le risque de réitération.</w:t>
      </w:r>
    </w:p>
    <w:p>
      <w:r>
        <w:rPr>
          <w:b/>
        </w:rPr>
        <w:t>E. 5</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t>- 7 - b) En l’espèce, I.________ est détenu depuis le 19 juillet 2014, soit depuis un peu plus de deux semaines. Compte tenu des actes qui lui sont reprochés et de ses lourds antécédents, le recourant s'expose à une peine privative de liberté d’une durée manifestement supérieure à celle de la détention provisoire subie à ce jour. Au vu de ces éléments, le principe de proportionnalité de la détention provisoire demeure respecté.</w:t>
      </w:r>
    </w:p>
    <w:p>
      <w:r>
        <w:rPr>
          <w:b/>
        </w:rPr>
        <w:t>E. 6</w:t>
      </w:r>
    </w:p>
    <w:p>
      <w:r>
        <w:t>a) Le recourant soutient qu’à l’échéance du délai légal de 48 heures, ses conditions de détention provisoire au CGM Centre violent les dispositions conventionnelles, légales et réglementaires en la matière. Il allègue notamment que sa cellule, dépourvue de fenêtres, est éclairée en permanence par la lumière artificielle, exiguë et soumise à de fortes températures et que les conditions d'hygiène laissent à désirer. Il requiert le constat de ces irrégularités. b) Conformément à la jurisprudence (JT 2013 III 86), il y a lieu de constater que le Tribunal des mesures de contrainte est le mieux à même d'examiner les griefs invoqués par le recourant et de déterminer s’il y a eu en l’espèce violation des art. 3 CEDH (Convention du 4 novembre 1950 de sauvegarde des droits de l’homme et des libertés fondamentales; RS 0.101) et de l’art. 27 LVCPP (loi d'introduction du Code de procédure pénale suisse du 19 mai 2009; RSV 312.01). Le dossier de la cause devra donc lui être retourné. Cette autorité sera invitée à procéder à cet examen afin de constater, le cas échéant, les irrégularités dénoncées par l'intéressé, lesquelles, si elles sont avérées, ne sauraient toutefois entraîner sa libération, dès lors que les conditions de la détention sont par ailleurs réunies (ATF 139 IV 41 c. 2.2).</w:t>
      </w:r>
    </w:p>
    <w:p>
      <w:r>
        <w:rPr>
          <w:b/>
        </w:rPr>
        <w:t>E. 7</w:t>
      </w:r>
    </w:p>
    <w:p>
      <w:r>
        <w:t>En définitive, le recours doit être partiellement admis. L'ordonnance du 21 juillet 2014 sera maintenue en tant qu'elle ordonne la</w:t>
      </w:r>
    </w:p>
    <w:p>
      <w:r>
        <w:t>- 8 - détention provisoire de I.________ jusqu'au 19 octobre 2014 au plus tard. Pour le surplus, le dossier de la cause sera renvoyé au Tribunal des mesures de contrainte pour qu'il procède dans le sens des considérants. Vu l’issue du recours,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fixés à 540 fr., plus la TVA, par 43 fr. 20, soit 583 fr. 20, seront mis pour moitié à la charge du recourant, le solde étant laissé à la charge de l'Etat (art. 423 al. 1 CPP). Le remboursement à l’Etat de la moitié de l'indemnité allouée au défenseur d’office de I.________ ne sera toutefois exigible que pour autant que la situation économique de ce dernier se soit améliorée (art. 135 al. 4 CPP). Par ces motifs, la Chambre des recours pénale, statuant à huis clos, prononce : I. Le recours est partiellement admis. II. L’ordonnance du 21 juillet 2014 est maintenue en tant qu’elle ordonne la détention provisoire de I.________ jusqu’au 19 octobre 2014 au plus tard; pour le surplus, le dossier de la cause est renvoyé au Tribunal des mesures de contrainte pour qu'il procède dans le sens des considérants. III. L'indemnité allouée au défenseur d'office de I.________ est fixée à 583 fr. 20 (cinq cent huitante-trois francs et vingt centimes). IV. Les frais d’arrêt, par 880 fr. (huit cent huitante francs), ainsi que l’indemnité due au défenseur d’office du recourant, par 583 fr. 20 (cinq cent huitante-trois francs et vingt centimes),</w:t>
      </w:r>
    </w:p>
    <w:p>
      <w:r>
        <w:t>- 9 - sont mis pour moitié, soit par 731 fr. 60 (sept cent trente et un francs et soixante centimes) à la charge de I.________, le solde étant laissé à la charge de l’Etat. V. Le remboursement à l’Etat de la moitié de l’indemnité allouée au chiffre III ci-dessus sera exigible pour autant que la situation économique de I.________ se soit améliorée. VI. Le présent arrêt est exécutoire. Le vice-président : La greffière : Du L'arrêt qui précède, dont la rédaction a été approuvée à huis clos, est notifié, par l'envoi d'une copie complète, à : - M. Arnaud Thièry, avocat (pour I.________), - M. G.________, - Ministère public central, et communiqué à : - M. le Procureur de l’arrondissement de l’Est vaudois, - Centre de Gendarmerie mobile du Centre, à la Blécherette, par l’envoi de photocopies.</w:t>
      </w:r>
    </w:p>
    <w:p>
      <w:r>
        <w:t>- 10 -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