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PE14.014736 vom 28. April 2016</w:t>
      </w:r>
    </w:p>
    <w:p>
      <w:r>
        <w:t>VD Tribunal cantonal, 2016-04-28, FR</w:t>
      </w:r>
    </w:p>
    <w:p>
      <w:r>
        <w:rPr>
          <w:b/>
        </w:rPr>
        <w:t xml:space="preserve">Quelle: </w:t>
      </w:r>
      <w:r>
        <w:t>https://mcp.opencaselaw.ch/entscheid/vd_gerichte_PE14.014736</w:t>
      </w:r>
    </w:p>
    <w:p>
      <w:r>
        <w:t>FR: VD_GERICHTE PE14.014736 du 28 avril 2016</w:t>
      </w:r>
    </w:p>
    <w:p>
      <w:r>
        <w:t>IT: VD_GERICHTE PE14.014736 del 28 aprile 2016</w:t>
      </w:r>
    </w:p>
    <w:p>
      <w:pPr>
        <w:pStyle w:val="Heading2"/>
      </w:pPr>
      <w:r>
        <w:t>Erwägungen</w:t>
      </w:r>
    </w:p>
    <w:p>
      <w:r>
        <w:rPr>
          <w:b/>
        </w:rPr>
        <w:t>E. 3</w:t>
      </w:r>
    </w:p>
    <w:p>
      <w:r>
        <w:t>S.________ estime la peine trop sévère. Il considère qu'elle ne tient compte ni de la souffrance que G.________ lui aurait infligée sans raison par le passé et dont il n’aurait pu s’ouvrir à personne, ni de sa réelle intention dès lors qu’il aurait redouté une agression imminente de ce dernier et donc eu le sentiment de se défendre. L’appelant rappelle aussi qu'il convient de tenir compte de sa diminution de responsabilité et du fait que le pronostic vital de la victime n'a jamais été engagé. Le Ministère public soutient pour sa part que les premiers juges auraient accordé une importance excessive à la diminution de responsabilité du prévenu et qu'ils n'auraient pas dû réduire linéairement la peine de 25 % pour une diminution légère de responsabilité, dès lors que le Tribunal fédéral ne l'exige plus.</w:t>
      </w:r>
    </w:p>
    <w:p>
      <w:r>
        <w:rPr>
          <w:b/>
        </w:rPr>
        <w:t>E. 3.1.1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- 21 -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TF 6B_1276/2015 du 29 juin 2016 consid. 2.1).</w:t>
      </w:r>
    </w:p>
    <w:p>
      <w:r>
        <w:rPr>
          <w:b/>
        </w:rPr>
        <w:t>E. 3.1.2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w:t>
      </w:r>
    </w:p>
    <w:p>
      <w:r>
        <w:t>- 22 -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il s'agit de diminuer la faute et non la peine ; la réduction de la peine n'est que la conséquence de la faute plus légère (ATF 136 IV 55 précité consid. 5.5).</w:t>
      </w:r>
    </w:p>
    <w:p>
      <w:r>
        <w:rPr>
          <w:b/>
        </w:rPr>
        <w:t>E. 3.1.3</w:t>
      </w:r>
    </w:p>
    <w:p>
      <w:r>
        <w:t>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précité consid. 5.7).</w:t>
      </w:r>
    </w:p>
    <w:p>
      <w:r>
        <w:rPr>
          <w:b/>
        </w:rPr>
        <w:t>E. 3.2</w:t>
      </w:r>
    </w:p>
    <w:p>
      <w:r>
        <w:t>Le moyen relatif à l'intention du prévenu est, comme on l'a vu plus haut, mal fondé. S’agissant des autres griefs, les premiers juges ont à</w:t>
      </w:r>
    </w:p>
    <w:p>
      <w:r>
        <w:t>- 23 - bon droit tenu compte du parcours de vie difficile de S.________. Ils ont en outre rappelé que les violences qu’il avait subies de la part de G.________ étaient anciennes et que les parties se fréquentaient normalement depuis lors. Quant au résultat des actes du prévenu, ils ont à juste titre observé qu'on se trouvait proche du délit manqué, S.________ n'ayant manifesté aucune intention de s'interrompre et ayant dû être arrêté par une intervention extérieure musclée. S’il est vrai que le plaignant n'a pas été mis en danger de mort par les lésions subies, il a néanmoins souffert de plusieurs blessures à l'intestin, ainsi qu'au dos et à gauche du thorax. Un coup donné quelques centimètres ailleurs aurait pu être fatal. Le geste du prévenu est grave et le motif de l’agression, qui se situe au niveau de l’ego ou d’un complexe d’infériorité, futile. La culpabilité du prévenu doit donc être considérée comme lourde, mais toutefois pas écrasante vu son parcours de vie. Le Tribunal a en outre tenu compte de la diminution de responsabilité et n’a pas méconnu, contrairement à ce qu’affirme le Ministère public, la jurisprudence du Tribunal fédéral qui donne davantage de latitude au juge, en ce sens que la réduction n’est pas nécessairement linéaire. En effet, cette jurisprudence ne signifie pas que la réduction ne doit pas être linéaire ou qu’une réduction linéaire est forcément excessive. A cet égard, le Parquet n’indique d’ailleurs pas en quoi la réduction de peine opérée par les premiers juges, compte tenu de l’impact de l’état mental combinant alcoolisation et retard mental léger, serait excessive. La peine privative de liberté de sept ans infligée à S.________ par les premiers juges est donc adéquate et doit être confirmée.</w:t>
      </w:r>
    </w:p>
    <w:p>
      <w:r>
        <w:rPr>
          <w:b/>
        </w:rPr>
        <w:t>E. 4</w:t>
      </w:r>
    </w:p>
    <w:p>
      <w:r>
        <w:t>L'appelant conteste le montant de 15'000 fr. alloué à la victime comme réparation du tort moral. Il propose un montant de 10'000 fr., et invoque une faute concomitante du lésé, soit les violences passées et la phrase « calme ton petit, sinon je le frappe ».</w:t>
      </w:r>
    </w:p>
    <w:p>
      <w:r>
        <w:rPr>
          <w:b/>
        </w:rPr>
        <w:t>E. 4.1</w:t>
      </w:r>
    </w:p>
    <w:p>
      <w:r>
        <w:t>Aux termes de l'art. 49 CO (Loi fédérale complétant le Code civil suisse du 30 mars 1911 ; RS 220), celui qui subit une atteinte illicite à</w:t>
      </w:r>
    </w:p>
    <w:p>
      <w:r>
        <w:t>- 24 -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ou, en cas de mort d’homme, à la famille une indemnité équitable à titre de réparation morale. L'art. 44 al. 1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4.2</w:t>
      </w:r>
    </w:p>
    <w:p>
      <w:r>
        <w:t>La possibilité de réduire une indemnité pour tenir compte d’une faute concomitante, résultant de l’art. 44 al. 1 CO, existe également dans le cas d’une indemnité pour tort moral.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w:t>
      </w:r>
    </w:p>
    <w:p>
      <w:r>
        <w:t>- 25 - s’est produit (TF 6B_246/2012 du 10 juillet 2012 consid. 3.2.1 et les références citées).</w:t>
      </w:r>
    </w:p>
    <w:p>
      <w:r>
        <w:rPr>
          <w:b/>
        </w:rPr>
        <w:t>E. 4.3</w:t>
      </w:r>
    </w:p>
    <w:p>
      <w:r>
        <w:t>En l'occurrence, on ne saurait admettre que G.________ devait s’attendre à provoquer un déchainement de violence tel que celui qui s’est produit le jour des faits lorsqu’il s’est adressé à Z.________ en parlant de S.________. La phrase « calme ton petit ou je vais le frapper » consistait en effet en une menace rhétorique résultant d’un léger agacement, ce que le prévenu a compris puisque ce n’est pas la crainte qui l’a poussé à agir. G.________ ne pouvait par ailleurs s’attendre à être violemment attaqué à l’arme blanche pour avoir utilisé le terme « petit » qui n’avait rien d’une grave injure ; de toute façon il est douteux que même l’auteur d’une grave injure doive s’attendre à une telle réaction. Il en va de même pour les brimades et violences commises des années auparavant – dont on ignore à vrai dire la nature et la gravité. Le montant de 15'000 fr. alloué à G.________ en réparation du tort moral ne prête donc pas le flanc à la critique et doit être confirmé.</w:t>
      </w:r>
    </w:p>
    <w:p>
      <w:r>
        <w:rPr>
          <w:b/>
        </w:rPr>
        <w:t>E. 5</w:t>
      </w:r>
    </w:p>
    <w:p>
      <w:r>
        <w:t>L'appelant voudrait qu'une partie des frais de la cause soit mise à la charge du plaignant compte tenu de l’historique de leurs relations, subsidiairement laissée à la charge de l’Etat. Les frais ne peuvent cependant être mis à la charge d'une partie plaignante qu'aux conditions de l'art. 427 CPP qui, à l'évidence, ne sont pas remplies. Il n’y a pas non plus lieu de laisser une part des frais à la charge de l'Etat, le prévenu n’ayant bénéficié d’aucun acquittement, même partiel (art. 426 CPP).</w:t>
      </w:r>
    </w:p>
    <w:p>
      <w:r>
        <w:rPr>
          <w:b/>
        </w:rPr>
        <w:t>E. 6</w:t>
      </w:r>
    </w:p>
    <w:p>
      <w:r>
        <w:t>En définitive, l'appel de S.________ et l'appel joint du Ministère public doivent être rejetés et le jugement attaqué confirmé. Me Roxane Mingard, conseil de G.________, a produit une liste d'opérations faisant état de 4 heures et 45 minutes pour la procédure</w:t>
      </w:r>
    </w:p>
    <w:p>
      <w:r>
        <w:t>- 26 - d'appel (P. 90). Pour les débours, un forfait de 50 fr. lui est alloué. Ainsi c'est une indemnité d’un montant de 1'107 fr., TVA, vacation et débours inclus, qui sera allouée. Me Inès Feldmann, défenseur de S.________, a pour sa part produit une liste d'opérations faisant état de 20 heures et 35 minutes pour la procédure d'appel (P. 89). Le temps allégué paraît toutefois excessif pour certaines opérations compte tenu de la connaissance du dossier acquise en première instance. Ainsi, le temps consacré à la préparation de l'audience sera réduit à 4 heures tandis qu'il ne sera pas tenu compte des 2 heures de réserve liées aux opérations du 16 septembre 2016, au vu de la durée de l'audience de jugement. Il convient donc de retenir un total de 16 heures et 30 minutes pour l'activité déployée par Me Inès Feldmann au tarif horaire de 180 fr., et 50 fr. de débours, auxquels s'ajoute la TVA, par 241 fr. 60, ce qui correspond à une indemnité de 3'261 fr. 60. Vu l'issue de la cause, les frais de la procédure d'appel, par 6'858 fr. 60, constitués en l'espèce de l’émolument de jugement, par 2'490 fr. (art. 21 al. 1 et 2 TFIP [tarif des frais de procédure et indemnité en matière pénale du 28 septembre 2010 ; RSV 312.03.1]), et des indemnités allouées à Me Roxane Mingard, par 1'107 fr., et à Me Inès Feldmann, par 3'261 fr. 60, seront mis, par trois quarts, soit par 5'143 fr. 95, à la charge de S.________, qui succombe (art. 428 al. 1 CPP) sur son propre appel, le solde étant laissé à la charge de l'Etat, vu le rejet de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