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PE14.014257 vom 8. Mai 2015</w:t>
      </w:r>
    </w:p>
    <w:p>
      <w:r>
        <w:t>VD Tribunal cantonal, 2015-05-08, FR</w:t>
      </w:r>
    </w:p>
    <w:p>
      <w:r>
        <w:rPr>
          <w:b/>
        </w:rPr>
        <w:t xml:space="preserve">Quelle: </w:t>
      </w:r>
      <w:r>
        <w:t>https://mcp.opencaselaw.ch/entscheid/vd_gerichte_PE14.014257</w:t>
      </w:r>
    </w:p>
    <w:p>
      <w:r>
        <w:t>FR: VD_GERICHTE PE14.014257 du 8 mai 2015</w:t>
      </w:r>
    </w:p>
    <w:p>
      <w:r>
        <w:t>IT: VD_GERICHTE PE14.014257 del 8 maggio 2015</w:t>
      </w:r>
    </w:p>
    <w:p>
      <w:pPr>
        <w:pStyle w:val="Heading2"/>
      </w:pPr>
      <w:r>
        <w:t>Erwägungen</w:t>
      </w:r>
    </w:p>
    <w:p>
      <w:r>
        <w:rPr>
          <w:b/>
        </w:rPr>
        <w:t>E. 1</w:t>
      </w:r>
    </w:p>
    <w:p>
      <w:r>
        <w:t>Aux termes de l'art. 233 CPP (Code de procédure pénale suisse du 5 octobre 2007, RS 312.0), la direction de la procédure de la juridiction d'appel statue dans les cinq jours sur les demandes de libération et sa décision n'est pas sujette à recours. Cette disposition garantit que le prévenu (acquitté ou condamné en première instance) puisse requérir en tout temps sa mise en liberté puisque la demande peut même être formulée auprès de la juridiction d'appel (Logos, in: Commentaire romand, Code de procédure pénale suisse, Bâle 2011, n. 5 ad art. 233 CPP; Moreillon/Parein-Reymond, Petit commentaire du CPP, Bâle 2013, n. 4 ad. art. 233). Déposée alors que le jugement rendu en appel n’est pas encore définitif et exécutoire, la requête de W.________ est recevable.</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w:t>
      </w:r>
    </w:p>
    <w:p>
      <w:r>
        <w:t>- 4 -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 4.1 p. 170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 quant à la peine susceptible de devoir être finalement exécutée (TF 1B_43/2013 du 1er mars 2013 c. 4.1 et les références citées). Selon la jurisprudence, le juge de la détention - afin d'éviter qu'il n'empiète sur les compétences du juge du fond - ne tient pas compte de la possibilité éventuelle de l'octroi d'un sursis par l'autorité de jugement (ATF 133 I 270 c. 3.4.3 p. 282).</w:t>
      </w:r>
    </w:p>
    <w:p>
      <w:r>
        <w:rPr>
          <w:b/>
        </w:rPr>
        <w:t>E. 2.2</w:t>
      </w:r>
    </w:p>
    <w:p>
      <w:r>
        <w:t>En l'occurrence, le Tribunal correctionnel de l'arrondissement de La Broye et du Nord vaudois a condamné W.________ pour l'ensemble des actes qui lui étaient reprochés, estimant sa culpabilité importante. La Cour d’appel a confirmé ce jugement. Le prévenu a au demeurant admis une grande partie des faits retenus à sa charge. Il existe donc des soupçons suffisants au sens de l’art. 221 CPP.</w:t>
      </w:r>
    </w:p>
    <w:p>
      <w:r>
        <w:rPr>
          <w:b/>
        </w:rPr>
        <w:t>E. 2.3</w:t>
      </w:r>
    </w:p>
    <w:p>
      <w:r>
        <w:t>A la suite du jugement de première instance, W.________ a été maintenu en détention pour des motifs de sûreté. Son jeune frère étant décédé le 16 octobre 2015, le prévenu demande aujourd’hui à pouvoir être présent auprès de sa famille pour une quinzaine de jours. Une conduite a déjà été accordée par décision du 20 octobre 2015 afin que le requérant assiste aux obsèques de son frère.</w:t>
      </w:r>
    </w:p>
    <w:p>
      <w:r>
        <w:t>- 5 -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l'occurrence, le risque de réitération est concret, compte tenu des antécédents de W.________ qui, malgré son jeune âge, a déjà été condamné pour de nombreuses infractions contre le patrimoine: le 6 juillet 2012 par le Ministère public de l’arrondissement du Nord vaudois pour appropriation illégitime, recel, vol et vol d’importance mineure, à une peine pécuniaire à 90 jours-amende à 30 fr. avec sursis pendant trois ans ainsi qu’à une amende de 400 fr., et le 21 juillet 2014 par le Tribunal correctionnel de La Broye et du Nord vaudois à une peine privative de liberté de 22 mois, avec sursis portant sur 16 mois – peine réduite le 3 décembre 2014 par la Cour d’appel à 20 mois, avec sursis portant sur 14 mois –, ainsi qu’à une amende de 200 fr. pour vol, recel, infractions diverses à l’intégrité sexuelle et différentes infractions à la loi fédérale sur la circulation routière et enfin pour les infractions objets de la présente</w:t>
      </w:r>
    </w:p>
    <w:p>
      <w:r>
        <w:t>- 6 - procédure. Au demeurant, le prévenu n’a pas hésité à commettre de nouvelles infractions alors qu’il était déjà sous le coup d’une enquête pénale. Aucune mesure de substitution (art. 237 CPP) ne présente en l’état de garanties suffisantes pour pallier le risque de réitération. Enfin, même si cela n’est pas déterminant dès lors que les conditions fixées à l’art. 221 al. 1 let. a à c CPP sont alternatives (TF 1B_249/2011 du 7 juin 2011 c. 2.4), il n’est pas exclu, au vu de la quotité de la peine prononcée, que W.________ se soustraie à l’exécution du jugement rendu à son encontre en prenant la fuite à l’étranger.</w:t>
      </w:r>
    </w:p>
    <w:p>
      <w:r>
        <w:rPr>
          <w:b/>
        </w:rPr>
        <w:t>E. 2.4</w:t>
      </w:r>
    </w:p>
    <w:p>
      <w:r>
        <w:t>La détention est conforme au principe de la proportionnalité des intérêts en présence (art. 212 al. 3 CPP), compte tenu de la gravité des infractions reprochées au prévenu et de la peine à laquelle il a été condamné (ATF 133 I 168 c. 4.1 et les arrêts cités).</w:t>
      </w:r>
    </w:p>
    <w:p>
      <w:r>
        <w:rPr>
          <w:b/>
        </w:rPr>
        <w:t>E. 3</w:t>
      </w:r>
    </w:p>
    <w:p>
      <w:r>
        <w:t>En définitive, le maintien en détention de W.________ pour des motifs de sûreté se justifie et sa requête tendant à sa mise en liberté doit être rejetée. Les frais du présent prononcé, par 450 fr. (art. 21 al. 1 TFIP [Tarif des frais de procédure et indemnités en matière pénale du 28 septembre 2010, RSV 312.03.1], seront mis à la charge de W.________, qui succombe (art. 428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