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PE14.014075 vom 1. März 2016</w:t>
      </w:r>
    </w:p>
    <w:p>
      <w:r>
        <w:t>VD Tribunal cantonal, 2016-03-01, FR</w:t>
      </w:r>
    </w:p>
    <w:p>
      <w:r>
        <w:rPr>
          <w:b/>
        </w:rPr>
        <w:t xml:space="preserve">Quelle: </w:t>
      </w:r>
      <w:r>
        <w:t>https://mcp.opencaselaw.ch/entscheid/vd_gerichte_PE14.014075</w:t>
      </w:r>
    </w:p>
    <w:p>
      <w:r>
        <w:t>FR: VD_GERICHTE PE14.014075 du 1 mars 2016</w:t>
      </w:r>
    </w:p>
    <w:p>
      <w:r>
        <w:t>IT: VD_GERICHTE PE14.014075 del 1 marzo 2016</w:t>
      </w:r>
    </w:p>
    <w:p>
      <w:pPr>
        <w:pStyle w:val="Heading2"/>
      </w:pPr>
      <w:r>
        <w:t>Erwägungen</w:t>
      </w:r>
    </w:p>
    <w:p>
      <w:r>
        <w:rPr>
          <w:b/>
        </w:rPr>
        <w:t>E. 1</w:t>
      </w:r>
    </w:p>
    <w:p>
      <w:r>
        <w:t>- 4 -</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 RSV 312.01]; art. 80 LOJV [loi vaudoise du 12 décembre 1979 d’organisation judiciaire; RSV 173.01]). En l'espèce, interjeté en temps utile, devant l’autorité compétente, par la partie plaignante qui a qualité pour recourir (art. 382 al. 1 CPP) et satisfaisant aux conditions de forme prescrites (art. 385 al. 1 CPP), le recours est recevable.</w:t>
      </w:r>
    </w:p>
    <w:p>
      <w:r>
        <w:rPr>
          <w:b/>
        </w:rPr>
        <w:t>E. 1.2</w:t>
      </w:r>
    </w:p>
    <w:p>
      <w:r>
        <w:t>L’art. 395 let. a CPP prévoit que si l’autorité de recours est un tribunal collégial – ce qui est le cas de la Chambre des recours pénale, laquelle statue à trois juges (art. 67 al. 1 let. 1 LOJV; art. 12 al. 1 ROTC [règlement organique du Tribunal cantonal ; RSV 173.31.1]) –, sa direction de la procédure statue seule sur le recours lorsqu’il porte exclusivement sur des contraventions. Tel étant le cas en l’espèce, un juge de la Chambre des recours pénale est compétent pour statuer en tant que juge unique (art. 13 al. 2 LVCPP; cf. Juge unique CREP du 11 février 2013/199 et les références citées).</w:t>
      </w:r>
    </w:p>
    <w:p>
      <w:r>
        <w:rPr>
          <w:b/>
        </w:rPr>
        <w:t>E. 2</w:t>
      </w:r>
    </w:p>
    <w:p>
      <w:r>
        <w:t>En premier lieu, le recourant conteste le classement de la procédure.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w:t>
      </w:r>
    </w:p>
    <w:p>
      <w:r>
        <w:t>- 5 -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 ATF 138 IV 86 consid. 4.1.1 ; ATF 138 IV 186 consid. 4.1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 CREP 11 avril 2014/280 consid. 2a et les références citées).</w:t>
      </w:r>
    </w:p>
    <w:p>
      <w:r>
        <w:rPr>
          <w:b/>
        </w:rPr>
        <w:t>E. 2.2</w:t>
      </w:r>
    </w:p>
    <w:p>
      <w:r>
        <w:t>En l’espèce, au terme d’une instruction que l’on peut qualifier de fouillée compte tenu de l’infraction en cause (voies de fait), il apparaît qu’aucun élément au dossier ne vient accréditer la version du plaignant selon laquelle il aurait reçu un coup de la part de Y.________. En effet, si les témoins ont confirmé la réalité de l’altercation survenue le 29 mai 2014</w:t>
      </w:r>
    </w:p>
    <w:p>
      <w:r>
        <w:t>- 6 - entre X.________ et Y.________, durant laquelle les protagonistes ont manifestement gesticulé, aucun des cinq témoins n’a fait état de coup, alors que seul ce comportement apparaîtrait en l’espèce pénalement répréhensible. On ne voit pas quelle mesure d’instruction complémentaire pourrait être ordonnée pour accréditer la version du recourant. En l’absence de preuves, une condamnation paraît exclue avec une vraisemblance confinant à la certitude et le principe in dubio pro duriore ne s’applique pas (cf. consid. 2.1 ci-dessus). Le classement de la procédure prononcé par le Ministère public est donc justifié et le recours doit être rejeté sur ce point.</w:t>
      </w:r>
    </w:p>
    <w:p>
      <w:r>
        <w:rPr>
          <w:b/>
        </w:rPr>
        <w:t>E. 3</w:t>
      </w:r>
    </w:p>
    <w:p>
      <w:r>
        <w:t>En second lieu, le recourant allègue qu’une nouvelle altercation l’opposant à Y.________ aurait eu lieu le 8 janvier 2016. Un nouveau témoin se serait fait connaître à cette occasion et aurait indiqué qu’il avait également été témoin des événements du 29 mai 2014. Ce témoin accepterait d’être entendu dans le cadre de la présente procédure pour autant que ses coordonnées ne soient pas divulguées au prévenu.</w:t>
      </w:r>
    </w:p>
    <w:p>
      <w:r>
        <w:rPr>
          <w:b/>
        </w:rPr>
        <w:t>E. 3.1</w:t>
      </w:r>
    </w:p>
    <w:p>
      <w:r>
        <w:t>Tout d’abord, on relèvera que les éventuelles infractions qui auraient été commises lors de l’altercation du 8 janvier 2016 ne sauraient être traitées dans le cadre de la présente procédure. Si le recourant souhaite l’ouverture d’une instruction pour ce motif, ces faits devront faire l’objet d’une nouvelle plainte pénale.</w:t>
      </w:r>
    </w:p>
    <w:p>
      <w:r>
        <w:rPr>
          <w:b/>
        </w:rPr>
        <w:t>E. 3.2</w:t>
      </w:r>
    </w:p>
    <w:p>
      <w:r>
        <w:t>S’agissant de la garantie d’anonymat que le recourant requiert à l’égard du témoin nouveau dont il se prévaut, il y a lieu de relever qu’une telle mesure de protection n’est envisageable que lorsque le témoin est exposé à un danger sérieux menaçant sa vie ou son intégrité corporelle ou à un autre inconvénient grave (art. 149 CPP). A cet égard, le Tribunal fédéral a rappelé qu’une telle mesure n’entrait en ligne de compte que comme ultima ratio face à des dangers graves telles qu’une atteinte à la vie ou à des biens, comme par exemple l’explosion d’une maison de vacances (ATF 139 IV 265, JdT 2013 IV 177 cons. 4.2 et les références citées ; ATF 138 IV 178, JdT 2013 IV 91).</w:t>
      </w:r>
    </w:p>
    <w:p>
      <w:r>
        <w:t>- 7 - En l’espèce, on ne saurait sérieusement soutenir que le témoignage dont il est question exposerait la vie du témoin ou encore ses biens à une atteinte tellement grave qu’elle justifierait la mise en place d’une telle protection. On rappellera en particulier que les infractions susceptibles d’entrer en ligne de compte dans le cadre de la présente procédure ne constitueraient, au pire, que de simples voies de fait dans le cadre d’un conflit de voisinage. Enfin, le recourant ne mentionne pas le nom du témoin nouveau dont il se prévaut, ne serait-ce sous le couvert d’une demande de restriction d’accès au dossier (art. 101 CPP), de sorte que l’on ignore le sérieux dudit témoin et son lien avec l’affaire. On ne peut dès lors pas retenir à ce stade que ce nouveau témoignage serait réellement susceptible d’influer sur la décision du Ministère public. Infondée, la requête du recourant doit donc être écartée.</w:t>
      </w:r>
    </w:p>
    <w:p>
      <w:r>
        <w:rPr>
          <w:b/>
        </w:rPr>
        <w:t>E. 4</w:t>
      </w:r>
    </w:p>
    <w:p>
      <w:r>
        <w:t>Il résulte de ce qui précède que le recours, manifestement mal fondé, doit être rejeté sans autres échanges d’écritures (art. 390 al. 2 CPP), et l'ordonnance de classement du 6 janvier 2016 confirmée. Les frais de la procédure de recours, constitués en l’espèce du seul émolument d’arrêt (art. 422 al. 1 CPP), par 630 fr. (art. 20 al. 1 TFIP [tarif des frais de procédure et indemnités en matière pénale du 28 septembre 2010; RSV 312.03.1]), seront mis à la charge du recourant, qui succombe (art. 428 al. 1 CPP). Par ces motifs, le juge unique prononce : I. Le recours est rejeté. II. L’ordonnance du 6 janvier 2016 est confirmée. III. Les frais du présent arrêt, par 630 fr. (six cent trente francs), sont mis à la charge de X.________.</w:t>
      </w:r>
    </w:p>
    <w:p>
      <w:r>
        <w:t>- 8 - IV. Le présent arrêt est exécutoire. Le juge unique : La greffière : Du Le présent arrêt, dont la rédaction a été approuvée à huis clos, est notifié, par l'envoi d'une copie complète, à : - Me Sylvie Saint-Marc, avocate (pour X.________), - M. Y.________,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