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PE14.014026 vom 19. Juli 2016</w:t>
      </w:r>
    </w:p>
    <w:p>
      <w:r>
        <w:t>VD Tribunal cantonal, 2016-07-19, FR</w:t>
      </w:r>
    </w:p>
    <w:p>
      <w:r>
        <w:rPr>
          <w:b/>
        </w:rPr>
        <w:t xml:space="preserve">Quelle: </w:t>
      </w:r>
      <w:r>
        <w:t>https://mcp.opencaselaw.ch/entscheid/vd_gerichte_PE14.014026</w:t>
      </w:r>
    </w:p>
    <w:p>
      <w:r>
        <w:t>FR: VD_GERICHTE PE14.014026 du 19 juillet 2016</w:t>
      </w:r>
    </w:p>
    <w:p>
      <w:r>
        <w:t>IT: VD_GERICHTE PE14.014026 del 19 luglio 2016</w:t>
      </w:r>
    </w:p>
    <w:p>
      <w:pPr>
        <w:pStyle w:val="Heading2"/>
      </w:pPr>
      <w:r>
        <w:t>Erwägungen</w:t>
      </w:r>
    </w:p>
    <w:p>
      <w:r>
        <w:rPr>
          <w:b/>
        </w:rPr>
        <w:t>E. 1</w:t>
      </w:r>
    </w:p>
    <w:p>
      <w:r>
        <w:t>Interjeté dans les forme et délai légaux (art. 399 CPP) par une partie ayant qualité à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L’appelante, qui a de tout temps contesté avoir reçu le nouvel abonnement général CFF 2014-2015 (cf. PV 2, lignes 47-68), soutient qu’il n’est pas établi qu’elle ait bien reçu cet abonnement. Ce serait de manière</w:t>
      </w:r>
    </w:p>
    <w:p>
      <w:r>
        <w:t>- 11 - arbitraire que le Tribunal de police a estimé qu’elle se l’était approprié sans droit.</w:t>
      </w:r>
    </w:p>
    <w:p>
      <w:r>
        <w:rPr>
          <w:b/>
        </w:rPr>
        <w:t>E. 3.1.1</w:t>
      </w:r>
    </w:p>
    <w:p>
      <w:r>
        <w:t>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Le comportement punissable consiste à s’approprier sans droit une chose mobilière appartenant à autrui. L'acte d'appropriation signifie tout d'abord que l'auteur incorpore économiquement la chose ou la valeur de la chose à son propre patrimoine, pour la conserver, la consommer ou pour l'aliéner; il dispose alors d'une chose comme propriétaire, sans pour autant en avoir la qualité. L’appropriation comporte un aspect subjectif et un aspect objectif :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ATF 121 IV 25 consid. 1c; ATF 118 IV 148 consid. 2a.; Corboz, Les infractions en droit suisse, vol. I, 3è éd. 2010, n. 9 ss ad art. 137 CP). Sur le plan subjectif ensuite, l'auteur doit avoir agi intentionnellement : il sait ou accepte que la chose appartient à autrui et a la volonté, au moins à titre éventuel, de l’incorporer à son patrimoine (Corboz, op. cit., n. 14 ad art. 137 CP et les références). L’art. 137 ch. 2 CP punit en particulier l’auteur qui s’approprie une chose qui est tombée en son pouvoir indépendamment de sa volonté</w:t>
      </w:r>
    </w:p>
    <w:p>
      <w:r>
        <w:t>- 12 - (par exemple, un colis lui est envoyé par erreur, le bureau de change lui remet trop d’argent, un objet est oublié chez lui, ou encore le cheval du voisin arrive dans son enclos). Il importe peu en revanche que la chose soit parvenue en mains de l’auteur de par la volonté du propriétaire ou indépendamment de celle-ci (Corboz, op. cit. n. 17 ad art. 137 CP et Niggli/Riedo, Basler Kommentar, Strafrecht II, art. 111-392 StGB, 3ème éd., n. 52 ad art. 137 CP).</w:t>
      </w:r>
    </w:p>
    <w:p>
      <w:r>
        <w:rPr>
          <w:b/>
        </w:rPr>
        <w:t>E. 3.1.2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la présomption d'innocence est violée si le juge du fond se déclare convaincu de faits défavorables à l'accusé sur lesquels, compte tenu des éléments de preuve qui lui sont soumis, il aurait au contraire dû, objectivement, éprouver des doutes ; on parle alors de doutes raisonnables.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w:t>
      </w:r>
    </w:p>
    <w:p>
      <w:r>
        <w:t>En l’espèce, le premier juge a fondé la condamnation de l’appelante pour appropriation illégitime sur deux courriers des CFF SA des 27 février 2015 et 16 mars 2015, qui ont attesté avoir envoyé, fin juin 2014, cet abonnement à l’adresse privée de l’appelante (Doss. Principal P. 24/1 et P. 26/1). Cependant, un acte d’appropriation de la part de l’appelante suppose à tout le moins que l’abonnement en cause soit parvenu dans sa sphère d’influence. Comme le soutient l’appelante, ce n’est pas l’envoi,</w:t>
      </w:r>
    </w:p>
    <w:p>
      <w:r>
        <w:t>- 13 - mais bien la réception de l’abonnement qui compte. A cet égard, les CFF ont confirmé avoir envoyé l’abonnement au domicile privé de l’appelante, sans que la réception de cet abonnement ne soit établie. Le fait qu’un pli n’arrive pas à destination, soit parce qu’il s’est égaré dans un tri, soit parce qu’un tiers indélicat l’a prélevé dans la boîte aux lettres par exemple, ne constitue pas un événement si exceptionnel qu’on peut sans autre affirmer qu’il n’est pas vraisemblable. On ne peut pas exclure que la réception de l’abonnement par l’appelante ne soit pas intervenue. C’est à l’accusation qu’il incombait d’apporter la preuve de la remise de l’abonnement à l’appelante et cette preuve ne figure pas au dossier. Il s’ensuit que le doute sur ce point doit profiter à l’appelante (art. 10 al. 3 CPP). L’appelante sera libérée du chef de prévention d’appropriation illégitime.</w:t>
      </w:r>
    </w:p>
    <w:p>
      <w:r>
        <w:rPr>
          <w:b/>
        </w:rPr>
        <w:t>E. 4</w:t>
      </w:r>
    </w:p>
    <w:p>
      <w:r>
        <w:t>Comme on vient de le voir, l’appelante doit être acquittée au bénéfice du doute, le fait qu’elle s’est appropriée l’abonnement en cause n’étant pas suffisamment établi. Dans ces conditions, il se justifie de faire application de l’art. 126 al. 2 let. b CPP et de renvoyer la partie plaignante A.________SA, anciennement I.________, à saisir le juge civil sur sa conclusion tendant au remboursement du montant qu’elle a versé pour l’abonnement général. Il en résulte également que les dépens réclamés par I.________ ne peuvent pas être alloués par le juge pénal. En effet, sur le plan pénal, les conditions posées par l’art. 433 al. 1 CPP ne sont pas remplies : l’appelante doit être acquittée et ne supportera pas des frais du chef de prévention d’appropriation illégitime (cf. ci-dessous, consid. 9). Sur le plan civil, la partie plaignante qui est renvoyée à agir par la voie civile n’est pas indemnisée dans la procédure pénale (ATF 139 IV 102 consid. 4.4).</w:t>
      </w:r>
    </w:p>
    <w:p>
      <w:r>
        <w:t>- 14 -</w:t>
      </w:r>
    </w:p>
    <w:p>
      <w:r>
        <w:rPr>
          <w:b/>
        </w:rPr>
        <w:t>E. 5</w:t>
      </w:r>
    </w:p>
    <w:p>
      <w:r>
        <w:t>L’appelante conteste la réalisation de la tentative de contrainte. Elle fait valoir qu’en notifiant la poursuite litigieuse, elle aurait poursuivi un but licite, à savoir le recouvrement des arriérés de salaire qu’elle entendait réclamer à son employeur. Ce serait en raison d’une appréciation erronée des faits et du droit, croyant qu’I.________ avait disparu ou était sur le point de disparaître, et que l’administrateur de celle-ci endosserait une responsabilité personnelle, qu’elle aurait intenté une poursuite à l’encontre de S.________ plutôt que d’I.________.</w:t>
      </w:r>
    </w:p>
    <w:p>
      <w:r>
        <w:rPr>
          <w:b/>
        </w:rPr>
        <w:t>E. 5.1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w:t>
      </w:r>
    </w:p>
    <w:p>
      <w:r>
        <w:t>- 15 -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ATF 134 IV 216 consid. 4.2 ; ATF 119 IV 301 consid. 2a).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(cf. ATF 115 III 18 consid. 3, ATF 115 III 81 consid. 3b; TF 6S.853/2000 du 9 mai 2001 consid. 4c ; TF 6B _70/2016 du 2 juin 2016 consid. 4.3.4). Sur le plan subjectif, il faut que l'auteur ait agi intentionnellement, c'est-à-dire qu'il ait voulu contraindre la victime à adopter le comportement visé en étant conscient de l'illicéité de son comportement ; le dol éventuel suffit (ATF 120 IV 17 consid. 2c p. 22). Lorsque la victime ne se laisse pas intimider et n'adopte pas le comportement voulu par l'auteur, ce dernier est punissable de tentative de contrainte (ATF 129 IV 262; ATF 106 IV 125 consid. 2b p. 12).</w:t>
      </w:r>
    </w:p>
    <w:p>
      <w:r>
        <w:rPr>
          <w:b/>
        </w:rPr>
        <w:t>E. 5.2</w:t>
      </w:r>
    </w:p>
    <w:p>
      <w:r>
        <w:t>Aux débats de première instance, l’appelante s’est exprimée en ces termes : « Je reconnais avoir fait notifier un commandement de payer pour inciter S.________ à faire en sorte que la société me paie ce</w:t>
      </w:r>
    </w:p>
    <w:p>
      <w:r>
        <w:t>- 16 - qu’elle me devait. (…). Pour vous répondre, je n’ai pas encore entrepris de procédures à l’encontre d’I.________ car j’ai été échaudée par mon précédent procès où à la fin il ne m’est resté quasiment rien une fois les frais d’avocat payés (…). Je me suis dit que c’était un moyen d’être rapidement payée ». Ces déclarations sont bien plus convaincantes que les explications de l’appelante liées à la vente de la société, à sa reprise ou à sa disparition. Elles s’inscrivent dans la logique particulière de l’appelante qui vise l’efficacité davantage que l’orthodoxie de ses démarches. Comme l’a retenu le premier juge, il ne fait aucun doute que l’appelante s’est rendue coupable de tentative de contrainte par l’envoi du commandement de payer litigieux. L’appelante, qui savait que sa débitrice ne pouvait être que la société I.________, a intenté une poursuite portant sur un montant important contre S.________ pour faire pression sur lui. La créance réclamée dans le commandement de payer litigieux ne peut pas être fondée, car l’appelante s’est adressée à une personne qui n’est pas sa débitrice. Elle ne l’ignorait pas, mais son objectif était de faire pression sur S.________. Ce procédé est clairement illicite. Si seule la tentative a été retenue, c’est bien parce que S.________ n’a pas été entravé dans sa liberté d’action. Cet argument est pertinent, comme l’a retenu le premier juge, au stade du degré de réalisation, mais ne peut pas conduire à libération. Mal fondé, le grief d’une application erronée de l’art. 22 ad 181 CP doit être rejeté.</w:t>
      </w:r>
    </w:p>
    <w:p>
      <w:r>
        <w:t>- 17 -</w:t>
      </w:r>
    </w:p>
    <w:p>
      <w:r>
        <w:rPr>
          <w:b/>
        </w:rPr>
        <w:t>E. 6</w:t>
      </w:r>
    </w:p>
    <w:p>
      <w:r>
        <w:t>En définitive, l’appelante doit être libérée du chef d’accusation d’appropriation illégitime, mais condamnée pour tentative de contrainte, ainsi que pour l’infraction non contestée en appel, soit infraction à la loi fédérale sur l’assurance-chômage obligatoire et l’indemnité en cas d’insolvabilité.</w:t>
      </w:r>
    </w:p>
    <w:p>
      <w:r>
        <w:rPr>
          <w:b/>
        </w:rPr>
        <w:t>E. 7</w:t>
      </w:r>
    </w:p>
    <w:p>
      <w:r>
        <w:t>L’appelante soutient qu’au moment de fixer la peine, le premier juge aurait dû tenir compte du fait qu’elle s’est engagée à rembourser le préjudice causé à la Caisse cantonale de chômage. Il s’agirait d’un élément à décharge au sens de l’art. 48 let. d CP.</w:t>
      </w:r>
    </w:p>
    <w:p>
      <w:r>
        <w:rPr>
          <w:b/>
        </w:rPr>
        <w:t>E. 7.1</w:t>
      </w:r>
    </w:p>
    <w:p>
      <w:r>
        <w:t>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Il ne peut ainsi bénéficier de cette circonstance atténuante que s'il a agi, non sous la pression du procès à venir, ni pour des raisons tactiques, mais mû par un repentir sincère, avec la volonté de réparer le tort causé (TF 6B_291/2007 du 25 janvier 2008 consid. 3.2 ; ATF 107 IV 98 consid. 1 et les références citées).</w:t>
      </w:r>
    </w:p>
    <w:p>
      <w:r>
        <w:rPr>
          <w:b/>
        </w:rPr>
        <w:t>E. 7.2</w:t>
      </w:r>
    </w:p>
    <w:p>
      <w:r>
        <w:t>En l’espèce, il est établi que l’appelante a remboursé un montant total de 1'400 fr. sur une dette de 2'002 fr. 50, sans que l’on sache pourquoi le solde de la dette n’a pas été remboursé. L’appelante ne s’en explique pas. Quoi qu’il en soit, l’amortissement de plus des deux tiers de la dette, qui est postérieur à la plainte (du 24 octobre 2014, Doss. B2, P. 4), ne saurait être considéré comme un acte particulièrement désintéressé. Mal fondé, le grief de l’appelante doit être rejeté. Néanmoins, le remboursement intervenu pourra être pris en compte dans le cadre de la fixation de la peine en application de l’art. 47 CP.</w:t>
      </w:r>
    </w:p>
    <w:p>
      <w:r>
        <w:rPr>
          <w:b/>
        </w:rPr>
        <w:t>E. 8</w:t>
      </w:r>
    </w:p>
    <w:p>
      <w:r>
        <w:t>- 18 -</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8.2</w:t>
      </w:r>
    </w:p>
    <w:p>
      <w:r>
        <w:t>Au moment de fixer la peine de l’appelante, la Cour de céans retient l’abandon d’un chef de prévention, ainsi que la réparation, du moins en grande partie, du préjudice causé à la Caisse cantonale de chômage. A décharge encore, on prendra en considération, comme le premier juge, la détresse psychologique de l’appelante et sa bonne collaboration à l’enquête. Cela n’efface pas d’autres éléments à charge retenus par le Tribunal de police, à savoir le peu de prise de conscience de l’appelante et deux condamnations, dont l’une pour des faits en partie semblables. Alors qu’elle savait que la poursuite dirigée contre S.________ n’était pas justifiée, l’appelante ne l’a retirée qu’à l’audience du 19 juillet 2016.</w:t>
      </w:r>
    </w:p>
    <w:p>
      <w:r>
        <w:t>- 19 - Tout bien considéré, il se justifie de réduire la peine pécuniaire et de la fixer à 50 jours-amende. Le montant du jour-amende, fixé par le premier juge à 30 fr., n’est pas contesté. Il est adéquat et doit être confirmé.</w:t>
      </w:r>
    </w:p>
    <w:p>
      <w:r>
        <w:rPr>
          <w:b/>
        </w:rPr>
        <w:t>E. 8.3</w:t>
      </w:r>
    </w:p>
    <w:p>
      <w:r>
        <w:t>La cour de céans fait totalement siennes les considérations du premier juge sur la fixation d’une peine ferme, si bien qu’elle y renvoie (art. 82 al. 4 CPP ; ATF 141 IV 244).</w:t>
      </w:r>
    </w:p>
    <w:p>
      <w:r>
        <w:rPr>
          <w:b/>
        </w:rPr>
        <w:t>E. 9</w:t>
      </w:r>
    </w:p>
    <w:p>
      <w:r>
        <w:t>Il résulte de ce qui précède que l’appel doit être partiellement admis et le jugement entrepris réformé dans le sens des considérants qui précèdent.</w:t>
      </w:r>
    </w:p>
    <w:p>
      <w:r>
        <w:rPr>
          <w:b/>
        </w:rPr>
        <w:t>E. 9.1</w:t>
      </w:r>
    </w:p>
    <w:p>
      <w:r>
        <w:t>En outre, vu l’abandon d’un chef d’accusation, les frais de première instance seront mis par deux tiers seulement, soit 1'716 francs 65, à la charge de la prévenue, le solde étant laissé à la charge de l’Etat. Comme elle était assistée d’un défenseur de choix, une indemnité partielle pour les dépenses occasionnées par l'exercice raisonnable de ses droits de procédure en première instance lui sera allouée, conformément à l’art. 429 al. 1 let. a CPP, et sera fixée à 1'607 francs. Ce montant correspond à un tiers de l’indemnité réclamée en première instance (4'432 fr. 50 d’honoraires + 31 fr. 45 de débours + 357 fr. 11 de TVA /3) (P. 43 et jgt. p. 5). En vertu de l’art. 442 al. 4 CPP, l’indemnité accordée à T.________ sera compensée avec les frais de procédure qui demeurent à sa charge (cf. ATF 139 IV 243 consid. 5).</w:t>
      </w:r>
    </w:p>
    <w:p>
      <w:r>
        <w:rPr>
          <w:b/>
        </w:rPr>
        <w:t>E. 9.2</w:t>
      </w:r>
    </w:p>
    <w:p>
      <w:r>
        <w:t>Une indemnité pour la procédure d'appel d'un montant de 2'062 fr. 80, sera allouée au défenseur d'office de l’appelante. Ce montant correspond à la liste d’opérations produite par Me Cornelia Seeger Tappy, sous déduction de trente minutes sur la durée de l’audience du 29 novembre 2016 (P. 60).</w:t>
      </w:r>
    </w:p>
    <w:p>
      <w:r>
        <w:t>- 20 - Vu l'issue de la cause, la moitié des frais d'appel constitués de l’émolument de jugement, par 1’940 fr. (art. 21 al. 1 et 2 TFIP [Tarif des frais de procédure et indemnités en matière pénale du 28 septembre 2010; RSV 312.03.1]) et de l’indemnité de défense d'office arrêtée à 2'062 fr. 80 (art. 422 al. 1 et 2 let. a CPP), seront mis à la charge de T.________, le solde étant laissé à la charge de l’Etat. L’appelante ne sera tenue de rembourser à l’Etat la part du montant de l’indemnité en faveur de son défenseur d’office mise à sa charge que lorsque sa situation financière le permettra (art. 135 al. 4 CPP). T.________ versera à S.________ la somme de 820 fr. 80 à titre d’indemnité de l’art. 433 CPP pour la procédure d’appel. Ce montant correspond à la liste d’opérations produite par Me Bernard Katz, qui ne prête pas le flanc à la critique (P. 58). Aucune indemnité n’est due à A.________SA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