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PE14.013877 vom 27. Januar 2015</w:t>
      </w:r>
    </w:p>
    <w:p>
      <w:r>
        <w:t>VD Tribunal cantonal, 2015-01-27, FR</w:t>
      </w:r>
    </w:p>
    <w:p>
      <w:r>
        <w:rPr>
          <w:b/>
        </w:rPr>
        <w:t xml:space="preserve">Quelle: </w:t>
      </w:r>
      <w:r>
        <w:t>https://mcp.opencaselaw.ch/entscheid/vd_gerichte_PE14.013877</w:t>
      </w:r>
    </w:p>
    <w:p>
      <w:r>
        <w:t>FR: VD_GERICHTE PE14.013877 du 27 janvier 2015</w:t>
      </w:r>
    </w:p>
    <w:p>
      <w:r>
        <w:t>IT: VD_GERICHTE PE14.013877 del 27 gennaio 2015</w:t>
      </w:r>
    </w:p>
    <w:p>
      <w:pPr>
        <w:pStyle w:val="Heading2"/>
      </w:pPr>
      <w:r>
        <w:t>Erwägungen</w:t>
      </w:r>
    </w:p>
    <w:p>
      <w:r>
        <w:rPr>
          <w:b/>
        </w:rPr>
        <w:t>E. 3</w:t>
      </w:r>
    </w:p>
    <w:p>
      <w:r>
        <w:t>En définitive, le recours doit être rejeté sans autre échange d’écritures (art. 390 al. 2 CPP) et l’ordonnance attaquée confirmée. Les frais de la procédure de recours, limités en l’espèce à l’émolument d'arrêt (art. 422 al. 1 CPP),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8 janvier 2015 est confirmée. III. Les frais d’arrêt, par 550 fr. (cinq cent cinquante francs), sont mis à la charge de H.________. IV. Le présent arrêt est exécutoire. Le président : Le greffier :</w:t>
      </w:r>
    </w:p>
    <w:p>
      <w:r>
        <w:t>- 6 - Du L'arrêt qui précède, dont la rédaction a été approuvée à huis clos, est notifié, par l'envoi d'une copie complète, à : - M. Jean-Pierre Bloch,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