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PE14.013845 vom 14. November 2018</w:t>
      </w:r>
    </w:p>
    <w:p>
      <w:r>
        <w:t>VD Tribunal cantonal, 2018-11-14, FR</w:t>
      </w:r>
    </w:p>
    <w:p>
      <w:r>
        <w:rPr>
          <w:b/>
        </w:rPr>
        <w:t xml:space="preserve">Quelle: </w:t>
      </w:r>
      <w:r>
        <w:t>https://mcp.opencaselaw.ch/entscheid/vd_gerichte_PE14.013845</w:t>
      </w:r>
    </w:p>
    <w:p>
      <w:r>
        <w:t>FR: VD_GERICHTE PE14.013845 du 14 novembre 2018</w:t>
      </w:r>
    </w:p>
    <w:p>
      <w:r>
        <w:t>IT: VD_GERICHTE PE14.013845 del 14 novembre 2018</w:t>
      </w:r>
    </w:p>
    <w:p>
      <w:pPr>
        <w:pStyle w:val="Heading2"/>
      </w:pPr>
      <w:r>
        <w:t>Erwägungen</w:t>
      </w:r>
    </w:p>
    <w:p>
      <w:r>
        <w:rPr>
          <w:b/>
        </w:rPr>
        <w:t>E. 22</w:t>
      </w:r>
    </w:p>
    <w:p>
      <w:r>
        <w:t>mars 2012 consid. 3.1.1). Le principe "in dubio pro duriore" exige donc simplement qu'en cas de doute, la procédure se poursuive. Pratiquement, une mise en accusation s'impose lorsqu'une condamnation apparaît plus vraisemblable qu'un acquittement (ATF 138 IV 86 consid. 4.1.1; ATF 138 IV</w:t>
      </w:r>
    </w:p>
    <w:p>
      <w:r>
        <w:t>- 9 - 186 consid. 4.1; ATF 137 IV 219 consid. 7; TF 1B_272/2011 du 22 mars 2012 consid. 3.1.1). 2.1.2 Selon l'art. 173 ch. 1 CP (Code pénal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w:t>
      </w:r>
    </w:p>
    <w:p>
      <w:r>
        <w:t>- 10 -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TF 6B_676/2017 du 15 décembre 2017 consid. 3.1; Corboz, op. cit., n. 11 ad art. 174 CP; Favre/Pellet/Stoudmann, Code pénal annoté, 3e éd., Lausanne 2011, n. 1.1 ad art. 174 CP). 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La doctrine considère généralement que l'injure est subsidiaire à la diffamation, respectivement à la calomnie (Dupuis et alii, Petit commentaire du Code pénal, 2e éd., Bâle 2017, n. 54 et les références citées). Certains auteurs réservent toutefois la possibilité d'un concours parfait lorsque l'auteur s'adresse à la fois à la personne visée et à des tiers (Dupuis et alii, op. cit., n. 54 ad art. 174 CP; Corboz, op. cit., n. 123 ad art. 173 CP). Cela étant, la diffamation ou la calomnie supposent une allégation de fait, tandis qu'un jugement de valeur, adressé à des tiers ou à la victime, peut constituer une injure au sens de l'art. 177 CP (ATF 128 IV 53 consid. 1f/aa). Pour distinguer l'allégation de fait du jugement de valeur, il faut se demander, en fonction des circonstances, si les termes litigieux ont un rapport reconnaissable avec un fait ou sont employés pour</w:t>
      </w:r>
    </w:p>
    <w:p>
      <w:r>
        <w:t>- 11 - exprimer le mépris (ibidem). La notion de jugement de valeur doit être comprise dans un sens large; il s'agit d'une manifestation directe de mésestime ou de mépris, au moyen de mots blessants, de gestes ou de voies de fait (ibidem). Simple appréciation, le jugement de valeur n'est pas susceptible de faire l'objet d'une preuve quant à son caractère vrai ou faux (TF 6B_498/2012 du 14 février 2013 consid. 5.3.1). 2.1.3 Selon l'art. 178 al. 1 CP, pour les délits contre l'honneur, l'action pénale se prescrit par quatre ans et non par sept ans (art. 97 al. 1 let. d CP). Le délai de prescription court dès la commission de l’infraction et non pas dès la connaissance de l’auteur comme c’est le cas pour le dépôt de la plainte. En cas d’infractions contre l’honneur répétées à l’encontre de la même victime, il n’y a pas d’unité quant à la prescription. Celle-ci court pour chacune des infractions dès le jour de sa commission (Dupuis et alii, op. cit., nn. 1 et 2 ad art. 178 CP et les références citées; ATF 119 IV 199). 2.2 En l’espèce, le recourant conteste le classement de la procédure, au motif que ses plaintes ne viseraient pas uniquement des infractions contre l’honneur et que sa plainte à l’encontre du couple [...] aurait été arbitrairement scindée en deux. Cela étant, il y a lieu de relever que la plainte du 2 juillet 2014, respectivement les faits dénoncés entre les mois de juin et juillet 2014, soit les seuls faits concernés par le classement de la procédure aux termes de l'ordonnance attaquée, concernent effectivement des infractions contre l’honneur. Par ailleurs, les plaintes du recourant n’ont pas été scindées. Elles n’ont simplement pas été jointes. Cela étant, la procédure ouverte ensuite de la plainte d’A.P.________ contre V.________, instruite sous référence PE14.020604, demeure ouverte. Pour le surplus, les infractions contre l’honneur faisant l’objet de l’ordonnance attaquée, qui datent des mois de juin et juillet 2014, sont effectivement prescrites, conformément à l’art. 178 CP, ce que le recourant ne conteste pas dans le cadre de son recours. Enfin, contrairement à ce que prétend ce dernier, il n’appartenait pas à l’autorité pénale d’attirer son attention sur le délai de prescription</w:t>
      </w:r>
    </w:p>
    <w:p>
      <w:r>
        <w:t>- 12 - qui approchait en vertu de l’art. 107 al. 2 CPP – aux termes duquel les autorités pénales attirent l'attention des parties sur leurs droits lorsqu'elles ne sont pas versées dans la matière juridique –, l’institution de la prescription de l’action pénale n’étant à l’évidence pas un « droit » de partie au sens de cette disposition. 3. Il résulte de ce qui précède que la demande de récusation, manifestement abusive, doit être déclarée irrecevable (art. 59 al. 4 CPP) et que le recours, manifestement mal fondé, doit être rejeté sans échange d'écritures (art. 390 al. 2 CPP) dans la mesure où il est recevable. L’ordonnance attaquée doit en conséquence être confirmée. Les frais de la procédure de recours, constitués en l’espèce du seul émolument d'arrêt (art. 422 al. 1 CPP), par 1’210 fr. (art. 20 al. 1 TFIP [Tarif des frais de procédure et indemnités en matière pénale du 28 septembre 2010; RSV 312.03.1]), seront mis à la charge du recourant, qui succombe (art. 59 al. 4 et 428 al. 1 CPP). Par ces motifs, la Chambre des recours pénale prononce : I. La demande de récusation est irrecevable. II. Le recours est rejeté dans la mesure où il est recevable. III. Les frais d’arrêt, par 1'210 fr. (mille deux cent dix francs), sont mis à la charge d’A.P.________. IV. L’arrêt est exécutoire. Le président : Le greffier :</w:t>
      </w:r>
    </w:p>
    <w:p>
      <w:r>
        <w:t>- 13 - Du Le présent arrêt, dont la rédaction a été approuvée à huis clos, est notifié, par l'envoi d'une copie complète, à : - M. A.P.________, - Ministère public central, et communiqué à : - M. le Procureur de l’arrondissement de Lausanne, - M. Julien Gafner, avocat (pour B.P.________ et V.________),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