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PE14.013391 vom 27. August 2014</w:t>
      </w:r>
    </w:p>
    <w:p>
      <w:r>
        <w:t>VD Tribunal cantonal, 2014-08-27, FR</w:t>
      </w:r>
    </w:p>
    <w:p>
      <w:r>
        <w:rPr>
          <w:b/>
        </w:rPr>
        <w:t xml:space="preserve">Quelle: </w:t>
      </w:r>
      <w:r>
        <w:t>https://mcp.opencaselaw.ch/entscheid/vd_gerichte_PE14.013391</w:t>
      </w:r>
    </w:p>
    <w:p>
      <w:r>
        <w:t>FR: VD_GERICHTE PE14.013391 du 27 août 2014</w:t>
      </w:r>
    </w:p>
    <w:p>
      <w:r>
        <w:t>IT: VD_GERICHTE PE14.013391 del 27 agosto 2014</w:t>
      </w:r>
    </w:p>
    <w:p>
      <w:pPr>
        <w:pStyle w:val="Heading2"/>
      </w:pPr>
      <w:r>
        <w:t>Erwägungen</w:t>
      </w:r>
    </w:p>
    <w:p>
      <w:r>
        <w:rPr>
          <w:b/>
        </w:rPr>
        <w:t>E. 1</w:t>
      </w:r>
    </w:p>
    <w:p>
      <w:r>
        <w:t>a) Aux termes de l’art. 393 al. 1 let. a CPP (Code de procédure pénale suisse ; RS 312.0), le recours est recevable contre les décisions et actes de procédure du Ministère public. Ce recours s’exerce par écrit, dans un délai de dix jours, auprès de l’autorité de recours (art. 396 al. 1 CPP). Le délai de recours de dix jours – qui ne peut être prolongé (art. 89 al. 1 CPP) – commence à courir le jour qui suit la notification de</w:t>
      </w:r>
    </w:p>
    <w:p>
      <w:r>
        <w:t>- 3 - l’ordonnance entreprise (art. 90 al. 1 et 384 let. b CPP ; Calame, in: Kuhn/Jeanneret [éd.], Commentaire romand, Code de procédure pénale suisse, Bâle 2011, n. 3 ad art. 384 CPP). Si le dernier jour du délai est un samedi, un dimanche ou un jour férié selon le droit fédéral ou cantonal, le délai expire le premier jour ouvrable qui suit (art. 90 al. 2 CPP). Le recours doit être remis au plus tard le dernier jour du délai à l’autorité pénale, à la Poste suisse, à une représentation consulaire ou diplomatique suisse ou, s’agissant de personnes détenues, à la direction de l’établissement carcéral (art. 91 al. 2 CPP). Selon la jurisprudence du Tribunal fédéral, le fardeau de la preuve de la notification et de la date de celle-ci incombe en principe à l'autorité qui entend en tirer une conséquence juridique (ATF 129 I 8 c. 2.2 p. 10; TF 6B_876/2013 du 6 mars 2014 c. 2.3.2). L'autorité supporte donc les conséquences de l'absence de preuve en ce sens que, si la notification ou sa date sont contestées et qu'il existe effectivement un doute à ce sujet, il y a lieu de se fonder sur les déclarations du destinataire de l'envoi (ATF 103 V 63 c. 2a p. 66; TF 6B_264/2014 du 8 juillet 2014 c. 2.1). b) En l’espèce, l’ordonnance attaquée a été rendue et notifiée à K.________ sous pli simple le 24 juillet 2014 (PV des opérations du 24 juillet 2014). K.________ a recouru contre cette décision par acte daté du 14 août 2014 qu’il a adressé le même jour en courrier recommandé au Ministère public (P. 12). Le recourant estime que la procureure aurait dû attendre la rentrée scolaire pour lui notifier sa décision. Il allègue qu’il n’a pu en prendre connaissance qu’à son retour de vacances, soit le 8 août 2014, et soutient, en substance, que ce ne serait qu’à partir de cette date que la décision serait entrée dans sa sphère de compétence et, partant, que le délai de recours commencerait à courir. c) Dans la mesure où la décision attaquée a été communiquée sous pli simple, on ignore à quelle date précise le pli a été distribué au recourant. La recevabilité de son recours paraît néanmoins douteuse. En</w:t>
      </w:r>
    </w:p>
    <w:p>
      <w:r>
        <w:t>- 4 - effet, la cours de céans a considéré, en se référant aux prestations offertes par la Poste et aux conditions générales qu’elle a édictées, que le dies a quo du délai pour recourir contre une décision adressée en courrier B courait au plus tard dès le 3e jour ouvrable (sans le samedi) suivant l’envoi de la décision (CREP 19 mai 2014/349 ; CREP 6 décembre 2013/822). La question de la recevabilité peut toutefois rester ici indécise, dans la mesure où le recours, supposé recevable, doit dans tous les cas être rejeté sur le fond pour les motifs qui suivent.</w:t>
      </w:r>
    </w:p>
    <w:p>
      <w:r>
        <w:rPr>
          <w:b/>
        </w:rPr>
        <w:t>E. 2</w:t>
      </w:r>
    </w:p>
    <w:p>
      <w:r>
        <w:t>a) 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sont cumulatives (Harari/Aliberti, in: Kuhn/Jeanneret [éd.], op. cit.,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w:t>
      </w:r>
    </w:p>
    <w:p>
      <w:r>
        <w:t>- 5 -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ATF 128 I 225 c. 2.5.2). b) K.________ est poursuivi dans le cas d’espèce pour escroquerie à l’aide sociale, au motif qu’il aurait dissimulé l’existence d’un compte postfinance alors qu’il bénéficiait du revenu d’insertion. Le montant qu’il aurait perçu indûment s’élèverait à 9'515 francs. Le recourant soutient qu’il s’agit d’une infraction compliquée et que la cause soulève des questions de fait et de droit complexes, notamment s’agissant de la tromperie astucieuse, qu’il n’est pas en mesure de résoudre seul. Cet argument doit être écarté : si ce raisonnement peut s’avérer exact dans certains cas, il n’en demeure pas moins qu’une escroquerie peut également se révéler simple, faute de quoi un défenseur d’office devrait systématiquement être désigné au prévenu poursuivi pour escroquerie, ce que le CPP ne prévoit pas. Les faits reprochés au recourant paraissent en l’occurrence simples, le Ministère public ayant d’ailleurs envisagé de rendre une ordonnance pénale sans audition (P. 6). La cause ne présente en outre aucune difficulté particulière en droit. Quant à la peine à laquelle le recourant s’expose, elle est inférieure à celle visée à l’art. 132 al. 3 CPP. Il s’agit par conséquent d’un « cas bagatelle » au sens de la jurisprudence précitée.</w:t>
      </w:r>
    </w:p>
    <w:p>
      <w:r>
        <w:t>- 6 - Le recourant ne rend enfin pas vraisemblable que la cause comporterait des spécificités qui justifieraient qu’il soit aidé par un avocat. En particulier, le fait qu’il soit albanophone et qu’il ne connaisse pas les termes juridiques de la langue française n’est pas pertinent, dès lors qu’il peut requérir les services d’un interprète si les conditions en sont réunies (art. 68 al. 1 CPP), le rôle de l’avocat d’office étant différent. Admettre le contraire favoriserait les prévenus de langue étrangère au détriment de ceux dont la langue maternelle est le français, alors que seul le critère de la complexité de la cause est déterminant. On constatera en dernier lieu que le recourant vit en Suisse depuis 1998 (P. 5/2) et qu’il est donc au fait des démarches à entreprendre pour se renseigner, comme il l’a fait pour la rédaction de son recours, par exemple. L’une des conditions de la défense d’office faisant défaut, il n’y a pas lieu d’examiner la seconde, soit l’indigence du recourant (art. 132 al. 1 let. b CPP). Au vu de ce qui précède, l’assistance d’un avocat n’est pas nécessaire à la sauvegarde des intérêts de K.________, de sorte que c’est à juste titre que le Ministère public lui a refusé la désignation d’un défenseur d’office.</w:t>
      </w:r>
    </w:p>
    <w:p>
      <w:r>
        <w:rPr>
          <w:b/>
        </w:rPr>
        <w:t>E. 3</w:t>
      </w:r>
    </w:p>
    <w:p>
      <w:r>
        <w:t>En définitive, le recours doit être rejeté sans autre échange d’écritures (art. 390 al. 2 CPP) et l’ordonnance attaquée confirmée.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w:t>
      </w:r>
    </w:p>
    <w:p>
      <w:r>
        <w:t>- 7 - Par ces motifs, la Chambre des recours pénale, statuant à huis clos, prononce : I. Le recours est rejeté. II. L’ordonnance du 24 juillet 2014 est confirmée. III. Les frais d’arrêt, par 660 fr. (six cent soixante francs), sont mis à la charge de K.________. IV. Le présent arrêt est exécutoire. Le président : La greffière : Du L'arrêt qui précède, dont la rédaction a été approuvée à huis clos, est notifié, par l'envoi d'une copie complète, à : - M. K.________, - Ministère public central ; et communiqué à : - Mme la Procureure de l’arrondissement de Lausanne, - Mme Martine Dang, avocate (pour K.________), par l’envoi de photocopies.</w:t>
      </w:r>
    </w:p>
    <w:p>
      <w:r>
        <w:t>- 8 -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