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PE14.013238 vom 22. Oktober 2014</w:t>
      </w:r>
    </w:p>
    <w:p>
      <w:r>
        <w:t>VD Tribunal cantonal, 2014-10-22, FR</w:t>
      </w:r>
    </w:p>
    <w:p>
      <w:r>
        <w:rPr>
          <w:b/>
        </w:rPr>
        <w:t xml:space="preserve">Quelle: </w:t>
      </w:r>
      <w:r>
        <w:t>https://mcp.opencaselaw.ch/entscheid/vd_gerichte_PE14.013238</w:t>
      </w:r>
    </w:p>
    <w:p>
      <w:r>
        <w:t>FR: VD_GERICHTE PE14.013238 du 22 octobre 2014</w:t>
      </w:r>
    </w:p>
    <w:p>
      <w:r>
        <w:t>IT: VD_GERICHTE PE14.013238 del 22 ottobre 2014</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CPP,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2.1</w:t>
      </w:r>
    </w:p>
    <w:p>
      <w:r>
        <w:t>Selon l’art. 310 al. 1 CPP, le ministère public rend immédiatement, c’est-à-dire sans ouvrir d’instruction (art. 309 al. 1 et 4 CPP; cf. Cornu, in: Kuhn/Jeanneret (éd.), Commentaire romand, Code de procédure pénale suisse, Bâle 2011,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w:t>
      </w:r>
    </w:p>
    <w:p>
      <w:r>
        <w:t>- 4 - cit., n. 1 ad art. 310 CPP) –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rPr>
          <w:b/>
        </w:rPr>
        <w:t>E. 2.2</w:t>
      </w:r>
    </w:p>
    <w:p>
      <w:r>
        <w:t>Selon l'art. 173 ch. 1 CP (Code pénal suisse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L'inculpé n'encourra aucune peine s'il prouve que les allégations qu'il a articulées ou propagées sont conformes à la vérité ou qu'il avait des raisons sérieuses de les tenir de bonne foi pour vraies (art. 173 ch. 2 CP). 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 La loi prévoit la possibilité pour une personne accusée de diffamation d'apporter des preuves libératoires qui excluent sa condamnation (art. 173 al. 2 CPP). Toutefois, dans le cadre de l'application de l'art. 173 CP, les motifs justificatifs de la partie générale du code pénal, qui excluent d'emblée l'illicéité de l'acte, doivent être examinés avant la question de la preuve libératoire (ATF 131 IV 154 c. 1.3.1 et les références citées; Dupuis et alii, Petit commentaire du Code pénal, Bâle 2012, n. 49 ad art. 173 CP). Le fait justificatif fréquemment invoqué dans le cadre de la diffamation est celui des actes autorisés par la loi (art. 14 CP). Selon l'art. 14 CP, quiconque agit comme la loi l'ordonne ou l'autorise se comporte de manière licite, même si l'acte est punissable en</w:t>
      </w:r>
    </w:p>
    <w:p>
      <w:r>
        <w:t>- 5 - vertu de la loi pénale. Cette norme peut, dans certaines hypothèses, exclure la culpabilité en cas d'atteinte à l'honneur. La jurisprudence a précisé que, dans le cadre d'une procédure judiciaire, les allégations attentatoires à l'honneur d'une partie sont justifiées par le devoir de plaider la cause pour autant qu'elles soient pertinentes, qu'elles n'aillent pas au-delà de ce qui est nécessaire et qu'elles ne soient pas inutilement blessantes ou propagées de mauvaise foi; de simples suppositions doivent être présentées comme telles (TF 1B_745/2012 du 26 décembre 2013 c. 3.2; ATF 135 IV 177 c. 4; TF 6B_850/2008 du 26 décembre 2008 c. 2.2; ATF 131 IV 154 c. 1.3.1).</w:t>
      </w:r>
    </w:p>
    <w:p>
      <w:r>
        <w:rPr>
          <w:b/>
        </w:rPr>
        <w:t>E. 2.3</w:t>
      </w:r>
    </w:p>
    <w:p>
      <w:r>
        <w:t>S’agissant tout d’abord des reproches formulés par le recourant à l’encontre du curateur de L.________, C.________, il y a lieu de relever que, par décision rendue le 4 décembre 2013, la Justice de Paix du district de Lavaux-Oron a institué une curatelle de représentation et de gestion concernant L.________ et a nommé C.________ en qualité de curateur. Selon cette décision, les tâches du curateur sont les suivantes : représenter L.________ dans les rapports avec les tiers, en particulier en matière de logement, santé affaires sociales, administration et affaires juridiques et sauvegarder au mieux les intérêts de L.________ ; veiller à la gestion des revenus et de la fortune de L.________, administrer les biens avec diligence et accomplir les actes juridiques liés à la gestion ; représenter, si nécessaire, L.________ pour ses besoins ordinaires. Selon l’art. 405 CC (Code civil suisse du 10 décembre 1907 ; RS 210), au moment de son entrée en fonctions, le curateur réunit les informations nécessaires à l'accomplissement de sa tâche et prend personnellement contact avec la personne concernée (al. 1) ; si la curatelle englobe la gestion du patrimoine, il dresse sans délai, en collaboration avec l'autorité de protection de l'adulte, un inventaire des valeurs patrimoniales qu'il doit gérer (al. 2) ; les tiers sont tenus de fournir toutes les informations requises pour l'établissement de l'inventaire (al. 4). En l’espèce, X.________ reproche à C.________ de l’avoir diffamé dans plusieurs courriers adressés à son avocat et à la Justice de paix du</w:t>
      </w:r>
    </w:p>
    <w:p>
      <w:r>
        <w:t>- 6 - district de Lavaux-Oron en indiquant notamment qu’il importunerait L.________ et qu’il aurait utilisé des fonds lui appartenant de manière abusive ; il lui reproche également de l’avoir menacé afin de l’empêcher de rencontrer librement L.________. Dans l’exercice de son mandat de curateur, C.________ était habilité à demander des comptes à X.________ au sujet de la gestion opérée par celui-ci sur les avoirs de la personne concernée avant sa nomination (art. 405 CC). Ainsi, les propos tenus par le curateur – notamment s’agissant de l’utilisation des fonds – l’ont été dans le cadre de ce mandat et ils n’étaient pas inutilement blessants. Au surplus, il était également du devoir du curateur de prendre toute mesure en vue de protéger la personne concernée. Ce devoir implique notamment le fait d’envisager l’ouverture d’une action civile en cessation de trouble, ce d’autant qu’une telle éventualité avait été expressément autorisée par la Justice de paix du district du Lavaux-Oron (cf. courrier du Juge de Paix du 1er mai 2014, P. 4/2) et que L.________, dans un courrier qu’il a signé le 3 juin 2014 – étant précisé qu’aucun élément au dossier ne permet de remettre en cause l’authenticité de cette signature –, a confirmé qu’il souhaitait que son curateur entreprenne les démarches nécessaires pour que X.________ cesse de l’importuner. Aussi, en informant X.________ de son intention d’ouvrir une telle action s’il ne cessait pas ses agissements, le curateur a agi conformément à son mandat et il ne s’est donc rendu coupable ni de diffamation (art. 173 CP), ni de tentative de contrainte (art. 181 CP). En conséquence, c’est donc à juste titre que le Procureur a décidé de ne pas entrer en matière sur la plainte de X.________ à l’encontre de C.________.</w:t>
      </w:r>
    </w:p>
    <w:p>
      <w:r>
        <w:rPr>
          <w:b/>
        </w:rPr>
        <w:t>E. 2.4</w:t>
      </w:r>
    </w:p>
    <w:p>
      <w:r>
        <w:t>S’agissant ensuite des griefs formulés par le recourant à l’encontre des filles et du beau-fils de L.________, il y a lieu de constater que, dans le courrier litigieux, soit une lettre du 22 mai 2014 (cf. p. 4/2), les filles et le beau-fils de L.________ font état au curateur de deux visites de X.________ intervenues après que le Juge de paix avait expressément</w:t>
      </w:r>
    </w:p>
    <w:p>
      <w:r>
        <w:t>- 7 - requis de ce dernier qu’il s’abstienne de toute pression à l’égard de L.________ (cf. lettre du Juge de Paix du 27 mars 2014, P. 4/2). Dans ce courrier, les auteurs indiquaient que X.________ s’était montré « menaçant envers tous ceux qui se seraient mis en travers de son chemin pour protéger L.________ ». Ces propos n’ont rien de diffamatoire. En effet, par ce courrier, les enfants de L.________, soucieux du bien-être de leur père, se sont contentés de faire part au curateur de leurs inquiétudes par rapport à la présence de X.________ au domicile de L.________ en dépit de l’injonction qui lui avait été faite par la Justice de paix (courrier du Juge de Paix du 1er mai 2014, P. 4/2) et par le curateur (cf. courrier de C.________ du 28 avril 2014, P. 4/2) de ne plus importuner L.________. L’allégation selon laquelle l’attitude du recourant leur était apparue menaçante est purement descriptive et informative et on ne saurait y voir une quelconque intention de porter atteinte à l’honneur de X.________. Sur ce point également, l’ordonnance de non-entrée en matière doit donc être confirmée.</w:t>
      </w:r>
    </w:p>
    <w:p>
      <w:r>
        <w:rPr>
          <w:b/>
        </w:rPr>
        <w:t>E. 3</w:t>
      </w:r>
    </w:p>
    <w:p>
      <w:r>
        <w:t>En définitive, le recours, manifestement mal fondé, doit être rejeté sans autre échange d’écritures (art. 390 al. 2 CPP) et l'ordonnance attaquée confirmée. Les frais de la procédure de recours, par 770 fr. (art. 20 al. 1 TFIP [tarif des frais de procédure et indemnités en matière pénale du 28 septembre 2010; RSV 312.03.1]), seront mis à la charge du recourant, qui succombe (art. 428 al. 1 CPP).</w:t>
      </w:r>
    </w:p>
    <w:p>
      <w:r>
        <w:t>- 8 - Par ces motifs, la Chambre des recours pénale prononce : I. Le recours est rejeté. II. L'ordonnance du 18 août 2014 est confirmée. III. Les frais d'arrêt, par 770 fr. (sept cent septante francs), sont mis à la charge de X.________. V. Le présent arrêt est exécutoire. Le président : La greffière : Du L'arrêt qui précède, dont la rédaction a été approuvée à huis clos, est notifié, par l'envoi d'une copie complète, à : - M. Jämes Dällenbach, avocat (pour X.________), - Ministère public central, et communiqué à : - M. le Procureur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