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PE14.013136 vom 22. September 2015</w:t>
      </w:r>
    </w:p>
    <w:p>
      <w:r>
        <w:t>VD Tribunal cantonal, 2015-09-22, FR</w:t>
      </w:r>
    </w:p>
    <w:p>
      <w:r>
        <w:rPr>
          <w:b/>
        </w:rPr>
        <w:t xml:space="preserve">Quelle: </w:t>
      </w:r>
      <w:r>
        <w:t>https://mcp.opencaselaw.ch/entscheid/vd_gerichte_PE14.013136</w:t>
      </w:r>
    </w:p>
    <w:p>
      <w:r>
        <w:t>FR: VD_GERICHTE PE14.013136 du 22 septembre 2015</w:t>
      </w:r>
    </w:p>
    <w:p>
      <w:r>
        <w:t>IT: VD_GERICHTE PE14.013136 del 22 settembre 2015</w:t>
      </w:r>
    </w:p>
    <w:p>
      <w:pPr>
        <w:pStyle w:val="Heading2"/>
      </w:pPr>
      <w:r>
        <w:t>Erwägungen</w:t>
      </w:r>
    </w:p>
    <w:p>
      <w:r>
        <w:rPr>
          <w:b/>
        </w:rPr>
        <w:t>E. 21</w:t>
      </w:r>
    </w:p>
    <w:p>
      <w:r>
        <w:t>décembre 1937 ; RS 311.1), quiconque agit comme la loi l'ordonne ou l'autorise se comporte de manière licite, même si l'acte est punissable en vertu de ce même code ou d’une autre loi. Cette disposition reprend en substance l'art. 32 aCP, de sorte que la jurisprudence y relative conserve sa pertinence.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Le respect de la proportionnalité est une question de droit, qui relève avant tout de l'appréciation, laquelle doit intervenir en se replaçant dans les circonstances concrètes du cas, en tenant compte de la justification et du type de la mesure prise, des moyens et du temps dont disposait l'intéressé selon la représentation qu'il avait des faits au moment où il a agi, de la réalité du terrain, de l'urgence ou encore de l'état de tension dans lequel l'auteur pouvait être légitimement plongé (TF 6B_930/2008 du 15 janvier 2009 c. 3.1 et la référence citée). Ainsi, les autorités judiciaires ne doivent pas se livrer à des raisonnements a posteriori trop subtils pour établir si l'auteur des mesures de défense n'aurait pas pu ou dû se contenter d'avoir recours à des moyens moins dommageables (Monnier ; in : Roth/Moreillon [éd.], Commentaire romand, Code pénal I, Art. 1-110 CP, Bâle 2009, n. 5 ad art. 14-18 CP et les références citées). S'agissant de la Police Municipale de Lausanne, le Règlement général du 27 novembre 2001 de la police de la commune de Lausanne dispose à son art. 7 al. 1 que la police locale ressortit à la Municipalité qui assure l'exécution du règlement et veille à son application, par l'entremise du corps de police et des fonctionnaires qu'elle désigne à cet effet, et précise à son art. 8 que l'usage de la force devra être proportionné aux circonstances et devra être l'ultime moyen de contrainte. 3.3 A l’appui de son ordonnance, le Procureur a retenu que l’interpellation de X.________ avait été ordonnée par la hiérarchie en raison</w:t>
      </w:r>
    </w:p>
    <w:p>
      <w:r>
        <w:t>- 10 - du fait qu’il avait refusé d’obtempérer aux ordres de la police de contourner le Château d’Ouchy pour se rendre à la bouche du métro M2. La fouille de sécurité avait ensuite été rendue difficile par le comportement du plaignant. Dans ces circonstances, l’usage de la contrainte avait été proportionné. Cette appréciation doit être confirmée. Il n’y a aucune raison de s’écarter de la version retenue. Le recourant n’est en effet pas crédible lorsqu’il prétend avoir été frappé à trois reprises au moins lorsqu’il était au sol ; les lésions constatées ne permettent en tous les cas pas de corroborer ce point. Il ne livre en outre que sa propre version des faits, sans aucun élément concret susceptible de modifier l’appréciation faite par le Procureur. A l’inverse, il faut constater que les explications fournies par l’agent de police quant à l’enchaînement des faits apparaissent cohérentes. S’agissant de la décision d’intégrer le plaignant au dispositif de contrôle policier et de l’interpeller, la déposition du chef du groupe M.________ confirme qu’elle a été prise du fait que le plaignant et les personnes l’accompagnant avaient refusé d’exécuter les injonctions qui leur avaient été données de contourner le Château d’Ouchy et de ne pas se diriger vers le cordon de police. Le rapport de police fait en outre état d’incivilités des manifestants à l’encontre des policiers durant la manifestation, et même après, et expose les circonstances de la mise en place du dispositif de sécurité visant à interpeller les manifestants qui refusaient de quitter les lieux. Eu égard aux circonstances de l’espèce, en ne se soumettant pas aux ordres de la police, puis en se montrant peu collaborant lors de la fouille – étant rappelé qu’il se tortillait, gesticulait et insistait pour connaître les raisons de son interpellation –, le recourant a provoqué la décision de le mettre au sol. Les actes du policier répondaient ainsi à la nécessité d’interpeller le plaignant, de sorte qu’il n’y a pas manifestement d’abus d’autorité (art. 312 CP). Concernant les lésions corporelles (art. 123 CP), subsidiairement les voies de fait (art. 126 CP), l’acte était également autorisé par la loi au sens de l’art. 14 CP et la maîtrise, par l’emploi de la « technique usuelle », proportionnée. Il convient de souligner à cet égard</w:t>
      </w:r>
    </w:p>
    <w:p>
      <w:r>
        <w:t>- 11 - que la manifestation devait se terminer à 19h00. Comme vers 20h30 des manifestants étaient encore présents, les policiers avaient reçu l’ordre de les dissoudre. Malgré l’ultimatum donné de quitter les lieux, des manifestants refusaient encore de partir à 21h00 et défiaient même les forces de l’ordre. Le dispositif policier visait en définitive à les regrouper, en faisant une masse pour les identifier, en vue de les dénoncer ensuite pour non-respect des conditions de la manifestation (cf. rapport de police du 8 mai 2014). Dans ces conditions, compte tenu de l’ultimatum annoncé par mégaphone, le recourant qui était resté sur les lieux ne pouvait ignorer que s’il restait sur les lieux, la police procéderait à un contrôle de son identité. Il connaissait donc les raisons de son interpellation et devait se conformer aux ordres du policier. Au vu de ces éléments, il y a lieu de considérer que le prévenu a agi dans le cadre de ses devoirs et que le recours à la contrainte physique était licite et adéquat, conformément aux art. 14 CP et 7 al. 1 du Règlement général du 27 novembre 2001 de la police de la commune de Lausanne (cf. c. 3.2.2 supra). Aucune autre mesure d’instruction n’est susceptible de conduire à une appréciation différente, de sorte qu’en définitive, une condamnation paraît exclue, ou à tout le moins infiniment moins probable qu’un acquittement. Le classement peut donc être confirmé. 4. Il résulte de ce qui précède que le recours, manifestement mal fondé, doit être rejeté sans autre échange d’écritures (art. 390 al. 2 CPP) et l’ordonnance du 9 juillet 2015 confirmée. La requête tendant à la désignation d’un conseil juridique gratuit pour la procédure devant la Cour de céans doit également être rejetée, le recours apparaissant d’emblée dénué de chances de succès (CREP 4 mai 2015/304 c. 3 ; CREP 19 mars 2012/244 c. 3). Les frais de la procédure de recours, constitués en l'espèce uniquement de l'émolument d'arrêt (art. 422 al. 1 CPP), par 1'210 fr. (art. 20 al. 1 TFIP [tarif des frais de procédure et indemnités en matière pénale</w:t>
      </w:r>
    </w:p>
    <w:p>
      <w:r>
        <w:t>- 12 - du 28 septembre 2010 ; RSV 312.03.1]), seront mis à la charge du recourant, qui succombe (art. 428 al. 1 CPP). Par ces motifs, la Chambre des recours pénale prononce : I. Le recours est rejeté. II. L’ordonnance du 9 juillet 2015 est confirmée. III. La requête tendant à la désignation d’un conseil juridique gratuit pour la procédure de recours est rejetée. IV. Les frais de la procédure de recours, par 1'210 fr. (mille deux cent dix francs), sont mis à la charge de X.________. V. Le présent arrêt est exécutoire. Le président : La greffière : Du Le présent arrêt, dont la rédaction a été approuvée à huis clos, est notifié, par l'envoi d'une copie complète, à : - M. Philippe Graf, avocat (pour X.________), - Mme Roxane Mingard, avocate (pour K.________), - Ministère public central ; et communiqué à : - M. le Procureur de l’arrondissement de Lausanne,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