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PE14.012981 vom 17. September 2014</w:t>
      </w:r>
    </w:p>
    <w:p>
      <w:r>
        <w:t>VD Tribunal cantonal, 2014-09-17, FR</w:t>
      </w:r>
    </w:p>
    <w:p>
      <w:r>
        <w:rPr>
          <w:b/>
        </w:rPr>
        <w:t xml:space="preserve">Quelle: </w:t>
      </w:r>
      <w:r>
        <w:t>https://mcp.opencaselaw.ch/entscheid/vd_gerichte_PE14.012981</w:t>
      </w:r>
    </w:p>
    <w:p>
      <w:r>
        <w:t>FR: VD_GERICHTE PE14.012981 du 17 septembre 2014</w:t>
      </w:r>
    </w:p>
    <w:p>
      <w:r>
        <w:t>IT: VD_GERICHTE PE14.012981 del 17 settembre 2014</w:t>
      </w:r>
    </w:p>
    <w:p>
      <w:pPr>
        <w:pStyle w:val="Heading2"/>
      </w:pPr>
      <w:r>
        <w:t>Erwägungen</w:t>
      </w:r>
    </w:p>
    <w:p>
      <w:r>
        <w:rPr>
          <w:b/>
        </w:rPr>
        <w:t>E. 1</w:t>
      </w:r>
    </w:p>
    <w:p>
      <w:r>
        <w:t>Interjeté dans le légal (art. 396 al. 1 CPP [Code de procédure pénale suisse du 5 octobre 2007 ; RS 312.0]) contre une décision du ministère public (art. 393 al. 1 let. a CPP), par une partie qui a qualité pour recourir (art. 382 al. 1 CPP) et dans les formes prescrites (art. 385 al. 1 CPP), le recours est recevable.</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w:t>
      </w:r>
    </w:p>
    <w:p>
      <w:r>
        <w:t>- 4 -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 b) Dans le cas d’espèce, S.________ est poursuivi pour diverses infractions et contraventions à la LCR (Loi fédérale sur la circulation routière du 19 décembre 1958 ; RS 741.01). Par ordonnance du 12 août 2014, le procureur l’a condamné à 120 jours de peine privative de liberté assortie d’une amende de 60 fr. sans révoquer le sursis qui lui avait été octroyé le 6 mai 2014. S.________ a formé opposition contre cette ordonnance en contestant la nature de la peine qui lui a été infligée. Contrairement à ce que le recourant soutient, dans la mesure où la peine privative de liberté envisagée par le procureur ne dépasse pas quatre mois, l’affaire peut être qualifiée de peu de gravité (art. 132 al. 3 CPP). Les faits qui lui sont reprochés sont en outre très simples. Il ne les a au demeurant pas remis en cause à l’appui de son opposition. Quant à leur qualification en droit, elle ne présente aucune difficulté particulière.</w:t>
      </w:r>
    </w:p>
    <w:p>
      <w:r>
        <w:t>- 5 - Le recourant ne rend enfin pas vraisemblable que la cause comporterait des spécificités qui justifieraient qu’il soit assisté d’un avocat. En particulier, son argument tiré du fait qu’il serait analphabète ne paraît guère crédible. En effet, si le Tribunal fédéral a reconnu qu’une partie illettrée était manifestement incapable de procéder seule (TF 1B_163/2012 du 28 mars 2012 c. 3), tel n’est vraisemblablement pas le cas du recourant. On constatera premièrement que, lors de son audition, il a déclaré avoir compris le formulaire expliquant en portugais ses droits et ses obligations en tant que prévenu (PV audition n° 2 p. 2). On relèvera ensuite que S.________ parle et comprend le français, puisqu’il a déclaré pouvoir se passer de la présence d’un interprète (PV audition n° 2 p. 1) et qu’il a signé sa déposition sans que lui ou son conseil ne fasse part de difficultés de lecture. En dernier lieu, la requête tendant à la désignation d’un défenseur d'office ne contient aucune allégation quant au fait que le prévenu souffrirait d’analphabétisme. Dans ces circonstances, cette affirmation n’apparaît pas crédible. L’une des conditions de la défense d’office faisant défaut, il n’y a pas lieu d’examiner la seconde, soit l’indigence du recourant (art. 132 al. 1 let. b CPP). Au vu de ce qui précède, l’assistance d’un avocat n’est pas nécessaire à la sauvegarde des intérêts de S.________,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rejeté. II. L’ordonnance du 28 août 2014 est confirmée. III. Les frais d’arrêt, par 550 fr. (cinq cent cinquante francs), sont mis à la charge de S.________. IV. Le présent arrêt est exécutoire. Le président : La greffière : Du L'arrêt qui précède, dont la rédaction a été approuvée à huis clos, est notifié, par l'envoi d'une copie complète, à : - M. Damien Hottelier, avocat (pour S.________), - Ministère public central ;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