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PE14.012064 vom 17. Februar 2015</w:t>
      </w:r>
    </w:p>
    <w:p>
      <w:r>
        <w:t>VD Tribunal cantonal, 2015-02-17, FR</w:t>
      </w:r>
    </w:p>
    <w:p>
      <w:r>
        <w:rPr>
          <w:b/>
        </w:rPr>
        <w:t xml:space="preserve">Quelle: </w:t>
      </w:r>
      <w:r>
        <w:t>https://mcp.opencaselaw.ch/entscheid/vd_gerichte_PE14.012064</w:t>
      </w:r>
    </w:p>
    <w:p>
      <w:r>
        <w:t>FR: VD_GERICHTE PE14.012064 du 17 février 2015</w:t>
      </w:r>
    </w:p>
    <w:p>
      <w:r>
        <w:t>IT: VD_GERICHTE PE14.012064 del 17 febbraio 2015</w:t>
      </w:r>
    </w:p>
    <w:p>
      <w:pPr>
        <w:pStyle w:val="Heading2"/>
      </w:pPr>
      <w:r>
        <w:t>Erwägungen</w:t>
      </w:r>
    </w:p>
    <w:p>
      <w:r>
        <w:rPr>
          <w:b/>
        </w:rPr>
        <w:t>E. 22</w:t>
      </w:r>
    </w:p>
    <w:p>
      <w:r>
        <w:t>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3. 3.1 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 si l'auteur a, notamment, agi sans dessein d'enrichissement, l'infraction ne sera poursuivie que sur plainte (ch. 2). En vertu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Ces infractions supposent notamment l'existence d'une chose mobilière appartenant à autrui. Une autre personne que l'auteur doit avoir un droit de propriété sur la chose, même si ce droit n'est pas exclusif. S’agissant de l’abus de confiance,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 6.2 ; ATF 120 IV 276 c. 2). L’art. 138 al. 1 ch. 1 CP vise tout comportement par</w:t>
      </w:r>
    </w:p>
    <w:p>
      <w:r>
        <w:t>- 5 - lequel l’auteur incorpore économiquement à son propre patrimoine la chose ou la valeur de la chose dont il était déjà en possession, soit pour la conserver ou la consommer, soit pour l’aliéner (Dupuis et alii, Petit commentaire du Code pénal, Bâle 2012, n. 18 ad art. 138 CP et les références citées). Il y a appropriation lorsque l’auteur entend déposséder durablement le propriétaire de la chose et veut faire sienne, au moins de façon passagère, tout en le manifestant par des signes extérieurs (ibid.). Du point de vue subjectif, l'auteur doit avoir agi intentionnellement et dans un dessein d'enrichissement illégitime. 3.2 En l'espèce, le véhicule en leasing est bien une chose confiée au sens de l'art. 138 ch. 1 al. 1 CP (cf. TF 6B_586/2010 du 23 novembre 2010 c. 4.3.3). Toutefois, pour qu’il y ait acte d’appropriation, il aurait fallu que la prévenue aliène le véhicule en en disposant comme un propriétaire. Tel n'est pas le cas en l'espèce. B.________ n'a simplement pas restitué le véhicule après la résiliation du contrat par la recourante. En outre, la prévenue n'a pas incorporé davantage le véhicule économiquement à son propre patrimoine que lorsqu'elle l'utilisait légitimement durant le contrat de leasing. Elle n'a à aucun moment voulu faire sien le véhicule, par des signes extérieurs, mais a continué à l'utiliser comme auparavant. Les éléments constitutifs des infractions d’appropriation illégitime et abus de confiance ne sont donc pas réalisés faute d'appropriation. Il s'agit d'un litige de nature exclusivement civile et c'est à juste titre que le Ministère public a rendu une ordonnance de classement. 4. En définitive, le recours, manifestement mal fondé, doit être rejeté sans autre échange d'écritures (art. 390 al. 2 CPP) et l’ordonnance attaquée confirmée. Les frais de la procédure de recours, constitués en l’espèce du seul émolument d'arrêt, par 550 fr. (art. 20 al. 1 et 2 TFIP [Tarif des frais de procédure et indemnités en matière pénale du 28 septembre 2010;</w:t>
      </w:r>
    </w:p>
    <w:p>
      <w:r>
        <w:t>- 6 - RSV 312.03.1]), doivent être mis à la charge de la recourante, qui succombe (art. 428 al. 1 CPP). Par ces motifs, la Chambre des recours pénale prononce : I. Le recours est rejeté. II. L'ordonnance du 8 janvier 2015 est confirmée. III. Les frais de la procédure de recours, par 550 fr. (cinq cent cinquante francs), sont mis à la charge de D.________AG. IV. Le présent arrêt est exécutoire. Le président : La greffière : Du Le présent arrêt, dont la rédaction a été approuvée à huis clos, est notifié, par l'envoi d'une copie complète, à : - M. Antoine Eigenmann, avocat (pour D.________AG),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