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PE14.012025 vom 23. April 2015</w:t>
      </w:r>
    </w:p>
    <w:p>
      <w:r>
        <w:t>VD Tribunal cantonal, 2015-04-23, FR</w:t>
      </w:r>
    </w:p>
    <w:p>
      <w:r>
        <w:rPr>
          <w:b/>
        </w:rPr>
        <w:t xml:space="preserve">Quelle: </w:t>
      </w:r>
      <w:r>
        <w:t>https://mcp.opencaselaw.ch/entscheid/vd_gerichte_PE14.012025</w:t>
      </w:r>
    </w:p>
    <w:p>
      <w:r>
        <w:t>FR: VD_GERICHTE PE14.012025 du 23 avril 2015</w:t>
      </w:r>
    </w:p>
    <w:p>
      <w:r>
        <w:t>IT: VD_GERICHTE PE14.012025 del 23 aprile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doit être rejeté et le jugement attaqué intégralement confirmé. Vu l'issue de la cause, les frais d'appel doivent être mis à la charge de X.________ (art. 428 al. 1 CPP). Outre l'émolument d’arrêt par 1’610 fr., ces frais comprennent l’indemnité allouée à son défenseur d’office, par 2'224 fr. 80, TVA et débours compris, selon la liste d’opérations produite (P. 69).</w:t>
      </w:r>
    </w:p>
    <w:p>
      <w:r>
        <w:t>- 17 - Le prévenu ne sera tenu de rembourser à l’Etat le montant de l'indemnité en faveur de son défenseur d'office prévue ci-dessus que lorsque sa situation financière le permettra (art. 135 al. 4 let. a et 426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