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PE14.012020 vom 4. Juli 2014</w:t>
      </w:r>
    </w:p>
    <w:p>
      <w:r>
        <w:t>VD Tribunal cantonal, 2014-07-04, FR</w:t>
      </w:r>
    </w:p>
    <w:p>
      <w:r>
        <w:rPr>
          <w:b/>
        </w:rPr>
        <w:t xml:space="preserve">Quelle: </w:t>
      </w:r>
      <w:r>
        <w:t>https://mcp.opencaselaw.ch/entscheid/vd_gerichte_PE14.012020</w:t>
      </w:r>
    </w:p>
    <w:p>
      <w:r>
        <w:t>FR: VD_GERICHTE PE14.012020 du 4 juillet 2014</w:t>
      </w:r>
    </w:p>
    <w:p>
      <w:r>
        <w:t>IT: VD_GERICHTE PE14.012020 del 4 luglio 2014</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w:t>
      </w:r>
    </w:p>
    <w:p>
      <w:r>
        <w:t>- 3 - présentée par O.________ à l’encontre du Procureur Z.________ (art. 13 LVCPP [loi cantonale vaudoise d’introduction du code de procédure pénale suisse du 19 mai 2009; RSV 312.01]).</w:t>
      </w:r>
    </w:p>
    <w:p>
      <w:r>
        <w:rPr>
          <w:b/>
        </w:rPr>
        <w:t>E. 2</w:t>
      </w:r>
    </w:p>
    <w:p>
      <w:r>
        <w:t>a) 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RS 101) et 6 CEDH (Convention du 4 novembre 1950 de sauvegarde des droits de l'homme et des libertés fondamentales;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1B_105/2013 du 21 mai 2013 c. 2.1 et l’arrêt cité).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w:t>
      </w:r>
    </w:p>
    <w:p>
      <w:r>
        <w:t>- 4 -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(ibid.). 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soit élucidé par le même magistrat. De même, un juge, respectivement un procureur, ne peut pas être récusé pour le simple motif que, dans une procédure antérieure, il a eu à trancher en défaveur du requérant (ibid.). A cela s’ajoute que des erreurs de procédure ou d'appréciation commises par un magistrat ne suffisent pas à fonder objectivement un soupçon de prévention, à moins qu'elles soient particulièrement lourdes ou répétées et qu'elles constituent des violations graves de ses devoirs qui dénotent une intention de nuire. La fonction judiciaire oblige le magistrat à se déterminer sur des éléments souvent contestés et délicats, si bien que, même si elles se révèlent viciées, des mesures inhérentes à l'exercice normal de sa charge ne permettent pas d'exiger sa récusation; il appartient aux juridictions de recours compétentes de constater et de redresser de telles erreurs si elles sont commises (cf. TF 1B_292/2012 du 13 août 2012 c. 3.1 et les arrêts cités). b) En l’espèce, O.________ n’a pas interjeté recours contre l’ordonnance de non-entrée en matière prononcée le 13 juin 2014 par la Procureur Z.________. Sa demande ne porte que sur la récusation de ce</w:t>
      </w:r>
    </w:p>
    <w:p>
      <w:r>
        <w:t>- 5 - magistrat, motif pris qu’il n’aurait pas été capable de tenir compte des éléments de fait rapportés dans sa plainte et ses annexes. Dans le cas présent, on ne saurait reprocher au Procureur Z.________ une activité partiale pour avoir prononcé l’ordonnance précitée. Au regard de la jurisprudence, le fait que ce Procureur ait rendu une décision défavorable au plaignant n’emporte pas prévention, cela d’autant plus qu’une telle ordonnance est inhérente à l'exercice normal de sa charge. On relèvera en outre, à toutes fins utiles, que le fait que ce Procureur gère plusieurs procédures dans lesquelles O.________ est partie ne constitue pas un motif de récusation.</w:t>
      </w:r>
    </w:p>
    <w:p>
      <w:r>
        <w:rPr>
          <w:b/>
        </w:rPr>
        <w:t>E. 3</w:t>
      </w:r>
    </w:p>
    <w:p>
      <w:r>
        <w:t>En définitive, mal fondée, la demande de récusation déposée le 26 juin 2014 par O.________ doit être rejetée. Les frais de procédure, constitués en l'espèce du seul émolument de décision, par 550 fr. (art. 20 TFIP [Tarif des frais de procédure et indemnités en matière pénale du 28 septembre 2010; RSV 312.03.1]), seront mis à la charge du requérant (art. 59 al. 4 CPP). Par ces motifs, la Chambre des recours pénale, statuant à huis clos, prononce : I. La demande de récusation présentée le 26 juin 2014 par O.________ à l’encontre du Procureur Z.________ est rejetée. II. Les frais de la présente décision, par 550 fr. (cinq cent cinquante francs), sont mis à la charge de O.________. III. La présente décision est exécutoire. Le président : Le greffier :</w:t>
      </w:r>
    </w:p>
    <w:p>
      <w:r>
        <w:t>- 6 - Du La décision qui précède, dont la rédaction a été approuvée à huis clos, est notifiée, par l'envoi d'une copie complète, à : - M. O.________, - Ministère public central,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