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PE14.011874 vom 11. Mai 2015</w:t>
      </w:r>
    </w:p>
    <w:p>
      <w:r>
        <w:t>VD Tribunal cantonal, 2015-05-11, FR</w:t>
      </w:r>
    </w:p>
    <w:p>
      <w:r>
        <w:rPr>
          <w:b/>
        </w:rPr>
        <w:t xml:space="preserve">Quelle: </w:t>
      </w:r>
      <w:r>
        <w:t>https://mcp.opencaselaw.ch/entscheid/vd_gerichte_PE14.011874</w:t>
      </w:r>
    </w:p>
    <w:p>
      <w:r>
        <w:t>FR: VD_GERICHTE PE14.011874 du 11 mai 2015</w:t>
      </w:r>
    </w:p>
    <w:p>
      <w:r>
        <w:t>IT: VD_GERICHTE PE14.011874 del 11 maggio 2015</w:t>
      </w:r>
    </w:p>
    <w:p>
      <w:pPr>
        <w:pStyle w:val="Heading2"/>
      </w:pPr>
      <w:r>
        <w:t>Volltext</w:t>
      </w:r>
    </w:p>
    <w:p>
      <w:r>
        <w:t>TRIBUNAL CANTONAL 322 PE14.011874-SJH CHAMBRE DE S RECO URS PEN ALE __________________________________________ Arrêt du 11 mai 2015 __________________ Composition : M. ABRECHT, président MM. Krieger et Perrot, juges Greffière : Mme Choukroun ***** Art. 181 CP ; 319 CPP Statuant sur le recours interjeté le 5 mars 2015 par X.________ contre l’ordonnance de classement rendue le 6 février 2015 par le Ministère public de l’arrondissement du Nord vaudois dans la cause n° PE14.011874-SJH, la Chambre des recours pénale considère : En fait : A. X.________ est la directrice de l’école de massage [...] à [...]. Le matin du samedi 17 mai 2014, à la veille des examens finaux couronnant la formation de massage délivrée par l’école, un groupe d’élèves, soit C.________, W.________, S.________, V.________, J.________ et 351</w:t>
      </w:r>
    </w:p>
    <w:p>
      <w:r>
        <w:t>- 2 - B.________, s’est entretenu avec X.________ pour lui faire part de leur mécontentement s’agissant de la qualité de l’enseignement suivi. Les élèves ont exigé une réduction du prix de la formation. Le lendemain matin, après avoir terminé leurs examens théoriques, les élèves concernés ont soumis à X.________ des « reconnaissances de dette » ainsi que des « confirmations de paiement des écolages » en réalité non acquittés que cette dernière a signées. Le 4 juin 2014, X.________ a déposé plainte contre les élèves précités. Elle leur reproche de l’avoir contrainte à signer des documents attestant soit de la remise de l’écolage qu’ils n’avaient pas encore payé, soit du remboursement de l’écolage déjà réglé, en la menaçant et en la mettant sous pression lors de l’entretien qui s’était tenu le 17 mai 2014. B. a) À la suite de cette plainte, le Procureur de l’arrondissement du Nord vaudois a ouvert une enquête pénale à l’encontre des prévenus mentionnés plus haut. Une audition de confrontation s’est tenue le 17 novembre 2014 en présence de X.________, d’une part, et des prévenus C.________, W.________, S.________, B.________ et J.________, d’autre part. À cette occasion, C.________ a expliqué que le matin du samedi 17 mai 2014, lui et les autres élèves mis en cause par X.________ avaient constaté que des planches anatomiques fournies par cette dernière comportaient des erreurs, précisant que cela s’était ajouté à de nombreux autres problèmes de qualité des cours. Les examens finaux ayant lieu le lendemain, cela avait été « la goutte d’eau qui faisait déborder le vase ». X.________ avait déjà été avertie de ces problèmes et avait promis d’améliorer la qualité de l’enseignement. Ce matin-là, les élèves auraient discuté avec elle durant deux ou trois heures pour lui exprimer leur sentiment sur la formation suivie. Ils lui auraient finalement proposé un arrangement financier qu’elle n’aurait pas signé le jour même mais le lendemain. C.________ a ajouté que l’entretien s’était très bien passé,</w:t>
      </w:r>
    </w:p>
    <w:p>
      <w:r>
        <w:t>- 3 - X.________ ayant compris leurs demandes, et que si celle-ci avait réellement été menacée, il ne voyait pas comment les élèves auraient pu revenir pour passer leurs examens le lendemain. Les autres prévenus présents ont confirmé les déclarations faites par C.________, ajoutant qu’ils étaient surpris de se voir accuser de contrainte. W.________ a expliqué que l’échange du 17 mai 2014 lui avait semblé constructif pour tout le monde et que X.________ les avait même remerciés, précisant que leurs remarques lui apporteraient de l’expérience pour l’avenir de la direction de l’école. S.________ a précisé que les élèves avaient proposé à X.________ de signer les reconnaissances de dette à midi après les examens théoriques et qu’en fin de journée, une fois les examens pratiques achevés, elle leur avait proposé de revenir l’année suivante pour être experts aux mêmes examens, ce qui démontrait que l’ambiance était « amicale ». B.________ a relevé que dès le début de la formation, il avait eu des problèmes. Il s’était senti « escroqué » et, après que chaque élève concerné avait fait part de ses doléances à X.________, il lui avait dit « imagine si tu te trouvais face à des brutes épaisses, ça se serait fini par des claques », précisant qu’il n’avait pas l’intention de la menacer par ces paroles. Enfin, J.________ a ajouté que les élèves étaient en plein désarroi lorsqu’ils ont constaté, à la veille des examens finaux, qu’ils avaient appris des choses fausses. Il a admis que cela n’était pas agréable de se voir reprocher des choses mais que c’était justifié dans le cas présent. b) Par ordonnance du 6 février 2015, le Ministère public de l’arrondissement du Nord vaudois a ordonné le classement de la procédure pénale dirigée contre C.________, W.________, S.________, V.________, B.________ et J.________ pour contrainte (I), laissant les frais de procédure à la charge de l’Etat (II). Le procureur a considéré qu’au vu des circonstances, aucune infraction pénale n’était réalisée.</w:t>
      </w:r>
    </w:p>
    <w:p>
      <w:r>
        <w:t>- 4 - C. Par acte du 5 mars 2015, X.________ a recouru auprès de la Chambre des recours pénale contre cette ordonnance, en concluant, sous suite de frais et dépens, à son annulation, la cause étant renvoyée au Ministère public pour nouvelle instruction.</w:t>
      </w:r>
    </w:p>
    <w:p>
      <w:r>
        <w:t>- 5 - En d roit : 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la partie plaignante, qui a la qualité pour recourir (art. 382 al. 1 CPP), et satisfaisant aux conditions de forme posées par la loi (art. 385 al. 1 CPP), le recours est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w:t>
      </w:r>
    </w:p>
    <w:p>
      <w:r>
        <w:t>- 6 -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3. La recourante soutient que les éléments constitutifs de la contrainte au sens de l’art. 181 CP seraient réalisés. 3.1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w:t>
      </w:r>
    </w:p>
    <w:p>
      <w:r>
        <w:t>- 7 -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 3.3.1 ; ATF 134 IV 216 c. 4.2 ; Dupuis et al., Code pénal, Petit commentaire, 2012, n. 17 ad art. 181 CP). La contrainte peut être contraire au droit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120 IV 17 c. 2a). La disproportion entre les moyens dont fait usage l’auteur et le but qu’il poursuit est réalisée lorsqu’il n’y a pas de rapport interne de connexité entre l’objet de la menace et l’exigence formulée (TF 6B_281/2013 du 16 juillet 2013 c. 1.1 ; Dupuis et al., op. cit., nn. 27-31 ad art. 181 CP). Sur le plan subjectif, il faut que l’auteur ait agi avec conscience et volonté, soit au moins qu’il ait accepté l’éventualité que le procédé illicite employé entrave le destinataire dans sa liberté de décision (ATF 120 IV 17 c. 2c ; TF 6B_38/2011 du 26 avril 2011 c. 2.2.1). 3.2 En l’espèce, le procureur a relevé que X.________ n’avait signé les reconnaissances de dette litigieuses que le lendemain de la séance lors de laquelle les élèves insatisfaits l’avaient rencontrée. Elle avait admis avoir demandé aux intimés ce jour-là s’ils souhaitaient lui servir d’experts aux examens suivants, ce qui ne laissait pas transparaître une pression ou une contrainte. Le magistrat a ajouté que si elle s’était réellement sentie contrainte, X.________ ne se serait pas présentée seule à la première partie des examens, indiquant qu’elle aurait pu ne pas se présenter ou encore refuser de faire passer les examens aux élèves incriminés. Il a considéré</w:t>
      </w:r>
    </w:p>
    <w:p>
      <w:r>
        <w:t>- 8 - qu’une directrice d’école devait faire face à des étudiants insatisfaits sans que cela apparaisse extraordinaire et qu’on ne discernait ni usage de la violence, ni menace d’un dommage sérieux ou autre acte entravant la personne dans sa liberté d’action au sens de l’art. 181 CP, le fait d’indiquer « s’énerver facilement » ou l’expression « il y en a d’autres qui vont te coller des baffes » étant manifestement insuffisant pour constituer une menace d’un dommage sérieux. Le procureur a enfin considéré que d’un point de vue subjectif, il n’était pas établi que les élèves prévenus aient eu conscience du fait que leur comportement puisse être de nature à alarmer ou à effrayer X.________, tous ayant déclaré qu’ils pensaient être en bons termes avec la plaignante, qui leur avait elle-même proposé d’intervenir comme experts pour son école à l’avenir et leur avait indiqué qu’ils étaient « un chouette groupe ». Le magistrat a relevé en particulier que la plaignante avait plusieurs moyens de pression de son côté, tels que le refus de faire passer les examens ou de délivrer les certificats, ce qui impliquait une position de force la mettant objectivement à l’abri de toute contrainte. Cette appréciation, complète et convaincante, ne prête pas le flanc à la critique et doit être confirmée. En effet, la recourante a certes pu se sentir mise sous pression par l’effet de groupe et les propos assez exaspérés de ses élèves insatisfaits lors de l’entretien du 17 mai 2014. Il n’y a cependant aucun indice concret et objectif d’un acte de contrainte au sens restrictif de la jurisprudence rappelée ci-dessus. Le certificat médical que la recourante a produit (P. 8/1) – établi 1er juillet 2014, soit près de deux mois après les faits – ne fait que retranscrire les symptômes qu’elle a décrit à ses thérapeutes et n’apporte rien qui permettrait de modifier ce constat. Il résulte de ce qui précède que les éléments avancés par la recourante à l’appui de son écriture du 5 mars 2015 ne suffisent pas à étayer à satisfaction de droit les soupçons à l’encontre des prévenus. Compte tenu des circonstances de l’espèce, les perspectives d’une condamnation apparaissent ainsi manifestement inférieures à celles d’une</w:t>
      </w:r>
    </w:p>
    <w:p>
      <w:r>
        <w:t>- 9 - libération. L’ordonnance de classement attaquée doit dès lors être confirmée. 4. En définitive, le recours doit être rejeté et l’ordonnance du 6 février 2015 confirmée. Les frais de la procédure de recours, constitués du seul émolument d’arrêt, par 880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6 février 2015 est confirmée. III. Les frais d’arrêt, par 880 fr. (huit cent huitante francs), sont mis à la charge de la recourante. IV. Le présent arrêt est exécutoire. Le président : La greffière : Du Le présent arrêt, dont la rédaction a été approuvée à huis clos, est notifié, par l'envoi d'une copie complète, à : - M. Philippe Ehrenström, avocat (pour X.________), - M. C.________, - Mme W.________, - Mme S.________, - M. B.________,</w:t>
      </w:r>
    </w:p>
    <w:p>
      <w:r>
        <w:t>- 10 - - M. V.________, - M. J.________,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