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PE14.011828 vom 17. November 2015</w:t>
      </w:r>
    </w:p>
    <w:p>
      <w:r>
        <w:t>VD Tribunal cantonal, 2015-11-17, FR</w:t>
      </w:r>
    </w:p>
    <w:p>
      <w:r>
        <w:rPr>
          <w:b/>
        </w:rPr>
        <w:t xml:space="preserve">Quelle: </w:t>
      </w:r>
      <w:r>
        <w:t>https://mcp.opencaselaw.ch/entscheid/vd_gerichte_PE14.011828</w:t>
      </w:r>
    </w:p>
    <w:p>
      <w:r>
        <w:t>FR: VD_GERICHTE PE14.011828 du 17 novembre 2015</w:t>
      </w:r>
    </w:p>
    <w:p>
      <w:r>
        <w:t>IT: VD_GERICHTE PE14.011828 del 17 novembre 2015</w:t>
      </w:r>
    </w:p>
    <w:p>
      <w:pPr>
        <w:pStyle w:val="Heading2"/>
      </w:pPr>
      <w:r>
        <w:t>Erwägungen</w:t>
      </w:r>
    </w:p>
    <w:p>
      <w:r>
        <w:rPr>
          <w:b/>
        </w:rPr>
        <w:t>E. 3</w:t>
      </w:r>
    </w:p>
    <w:p>
      <w:r>
        <w:t>L'appelante conteste sa condamnation pour dénonciation calomnieuse. Elle invoque une constatation erronée des faits et une violation de la présomption d'innocence. Elle soutient avoir fait des déclarations constantes devant les différentes juridictions, de sorte que sa version des faits serait crédible, qu'elle a bien été entaillée au bras gauche par P.________ et qu'elle aurait à tout le moins dû être mise au bénéfice du doute s'agissant de sa version.</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w:t>
      </w:r>
    </w:p>
    <w:p>
      <w:r>
        <w:t>- 11 -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consid. 4.2; TF 1C_517/2010 du 7 mars 2011 consid. 2.1).</w:t>
      </w:r>
    </w:p>
    <w:p>
      <w:r>
        <w:rPr>
          <w:b/>
        </w:rPr>
        <w:t>E. 3.2</w:t>
      </w:r>
    </w:p>
    <w:p>
      <w:r>
        <w:t>L'appréciation des preuves par le premier juge ne prête pas le flanc à la critique. Il a constaté à juste titre que les déclarations de la prévenue avaient varié relativement aux blessures infligées à son avant- bras. Lors de son audition du 7 juin 2014, la prévenue a en effet déclaré que son ami P.________ avait empoigné un couteau et lui avait entaillé à plusieurs endroits le bras gauche ainsi que légèrement le bras droit (PV aud 1, p. 2). Ce n'est que lorsqu'elle a été confrontée aux images filmées par P.________ qu'elle a reconnu avoir saisi le couteau et l'avoir posé sur son bras pour « simuler » qu'elle s'entaillait le bras (PV aud. 4, p. 3). C'est également à juste titre que le premier juge s'est fondé sur le constat des légistes, établi le 1er juillet 2014, selon lequel les blessures de Y.________ suggèrent plutôt une auto-agression (P. 9). L'ensemble de ces éléments démontre bien que c'est la prévenue qui s'est entaillée le bras et sa</w:t>
      </w:r>
    </w:p>
    <w:p>
      <w:r>
        <w:t>- 12 - version selon laquelle elle aurait uniquement simulé de tels gestes n'est pas crédible, compte tenu des éléments précités et de l'état émotionnel dans lequel elle se trouvait au moment de l'altercation avec P.________. L'appelante allègue d'ailleurs en vain que le premier juge se serait contenté d'une simple vraisemblance des faits, la phrase incriminée dans le jugement signifiant que la prévenue avait vraisemblablement agi de la sorte, soit en se blessant, par désarroi. La condamnation pour dénonciation calomnieuse doit ainsi être confirmée, l'appelante ne contestant du reste pas la réalisation des éléments constitutifs de l'infraction de l'art. 303 CP.</w:t>
      </w:r>
    </w:p>
    <w:p>
      <w:r>
        <w:rPr>
          <w:b/>
        </w:rPr>
        <w:t>E. 4</w:t>
      </w:r>
    </w:p>
    <w:p>
      <w:r>
        <w:t>Le Ministère public considère que le premier juge a retenu à tort que la condamnée avait voulu que P.________ soit poursuivi pour lésions corporelles simples qualifiées. En réalité, selon l'accusation, elle aurait dénoncé P.________ pour tentative de meurtre. L'appréciation des preuves par le premier juge serait ainsi arbitraire.</w:t>
      </w:r>
    </w:p>
    <w:p>
      <w:r>
        <w:rPr>
          <w:b/>
        </w:rPr>
        <w:t>E. 4.1</w:t>
      </w:r>
    </w:p>
    <w:p>
      <w:r>
        <w:t>Le prévenu doit connaître exactement les faits qui lui sont imputés et les peines et mesures auxquelles il est exposé, afin qu'il puisse s'expliquer et préparer efficacement sa défense (ATF 126 119 consid. 2a;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w:t>
      </w:r>
    </w:p>
    <w:p>
      <w:r>
        <w:t>- 13 -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consid. 1.1). La saisine de la juridiction de jugement est ainsi limitée aux infractions énoncées dans l'acte d'accusation et cet acte ne peut plus être modifié, sous réserve des exceptions énoncées à l'art. 333 CPP. L'accusation ne peut donc, en principe, plus être modifiée dans le cadre de la procédure judiciaire, en vertu du principe de l'immutabilité, sous réserve des art. 329, 333 et 344 CPP (Moreillon/Parein-Reymond, Petit commentaire du Code de procédure pénale, Bâle 2013, n. 2 ad art. 9 CPP).</w:t>
      </w:r>
    </w:p>
    <w:p>
      <w:r>
        <w:rPr>
          <w:b/>
        </w:rPr>
        <w:t>E. 4.2</w:t>
      </w:r>
    </w:p>
    <w:p>
      <w:r>
        <w:t>Comme l'observe la défense, la prévenue a été renvoyée suite à son opposition à l'ordonnance pénale du 11 juin 2015, valant dès lors acte d'accusation en vertu de l’art. 356 al. 1 CPP, pour avoir menti à la police en affirmant que son ex-compagnon lui avait tailladé le bras avec un couteau. Tous les autres faits dont le Ministère public se prévaut dans sa déclaration d'appel, soit que la prévenue aurait affirmé à la justice que P.________ aurait tenté de la tuer en lui donnant des coups de couteau et en tentant de l'étrangler – faits qui n'auraient en définitive pas été retenus à la charge de P.________ – ne figurent pas dans l'ordonnance pénale et ne sauraient donc être pris en considération dans le cadre de la procédure d'appel.</w:t>
      </w:r>
    </w:p>
    <w:p>
      <w:r>
        <w:rPr>
          <w:b/>
        </w:rPr>
        <w:t>E. 5</w:t>
      </w:r>
    </w:p>
    <w:p>
      <w:r>
        <w:t>Le Ministère public soutient également que la peine prononcée serait excessivement clémente. Le tribunal aurait mal apprécié la gravité des fausses accusations proférées par la prévenue, qui exposaient P.________ à une mise en détention, voire à une condamnation injustifiée.</w:t>
      </w:r>
    </w:p>
    <w:p>
      <w:r>
        <w:rPr>
          <w:b/>
        </w:rPr>
        <w:t>E. 5.1</w:t>
      </w:r>
    </w:p>
    <w:p>
      <w:r>
        <w:t>Selon l’art. 47 CP, le juge fixe la peine d’après la culpabilité de l’auteur. Il prend en considération les antécédents et la situation personnelle de ce dernier ainsi que l’effet de la peine sur son avenir (al. 1).</w:t>
      </w:r>
    </w:p>
    <w:p>
      <w:r>
        <w:t>- 14 -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w:t>
      </w:r>
    </w:p>
    <w:p>
      <w:r>
        <w:rPr>
          <w:b/>
        </w:rPr>
        <w:t>E. 5.2</w:t>
      </w:r>
    </w:p>
    <w:p>
      <w:r>
        <w:t>En l’espèce, le premier juge a correctement mesuré la culpabilité de la prévenue. Il a souligné à juste titre, à charge, qu'elle avait obstinément maintenu ses accusations mensongères alors qu'elle avait eu plusieurs occasions de les rétracter, relevant, comme le souligne le Ministère public, que les conséquences auraient pu être lourdes pour P.________. A décharge, le premier juge a souligné avec raison que la prévenue était bien une victime de P.________, qui était l'auteur de violences à son égard, et qu'elle avait été traumatisée par les événements du 6 juin 2014. Au vu de l'ensemble de ces éléments, la peine pécuniaire de 40 jours-amende prononcée en première instance est certes clémente, mais somme toute adéquate, compte tenu de l'état de désarroi dans lequel se trouvait la prévenue. Il en va de même du montant du jour- amende compte tenu de la situation personnelle de Y.________.</w:t>
      </w:r>
    </w:p>
    <w:p>
      <w:r>
        <w:t>- 15 -</w:t>
      </w:r>
    </w:p>
    <w:p>
      <w:r>
        <w:rPr>
          <w:b/>
        </w:rPr>
        <w:t>E. 6</w:t>
      </w:r>
    </w:p>
    <w:p>
      <w:r>
        <w:t>Au vu de ce qui précède, les appels de Y.________ et du Ministère public doivent être rejetés et le jugement attaqué intégralement confirmé. Vu l'issue de la cause, les frais d'appel doivent être mis par moitié à la charge de Y.________, le solde étant laissé à la charge de l’Etat (art. 428 al. 1 CPP). Outre l'émolument, qui se monte à 1’500 fr. (art. 21 al. 1 et 2 TFIP [Tarif des frais de procédure et indemnités en matière pénale du 28 septembre 2010 ; RSV 312.03.1]), ces frais comprennent l’indemnité allouée à son défenseur d’office, par 2’516 fr. 40, TVA et débours inclus, soit 12 heures d’activité à 180 fr./heure, une vacation à 120 fr. et 50 fr. de débours. Y.________ ne sera tenue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